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4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DeFi 自动化交易基础设施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非功能性量化指标说明文档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Non-Functional Requirements Specification</w:t>
      </w:r>
    </w:p>
    <w:p>
      <w:pPr>
        <w:pBdr>
          <w:top w:val="single" w:color="2E75B6" w:sz="4" w:space="4"/>
          <w:bottom w:val="single" w:color="2E75B6" w:sz="4" w:space="4"/>
        </w:pBdr>
        <w:spacing w:before="160" w:after="160"/>
        <w:jc w:val="center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PRD 附属文档  |  版本 1.0  |  2026</w:t>
      </w:r>
    </w:p>
    <w:p>
      <w:pPr>
        <w:spacing w:before="0" w:after="3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一、文档目的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本文档定义 DeFi 自动化交易基础设施的全部非功能性需求（NFR），将所有质量属性转化为可测试、可监控的量化指标。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非功能性需求回答「系统运行得怎么样」，与功能需求「系统能做什么」同等重要。在金融系统中，一个功能正确但延迟过高或可用性不足的系统，在关键时刻可能比没有系统更危险。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本文档涵盖六大维度：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性能（Performance）：</w:t>
      </w:r>
      <w:r>
        <w:rPr>
          <w:rFonts w:ascii="Arial" w:cs="Arial" w:eastAsia="Arial" w:hAnsi="Arial"/>
          <w:sz w:val="20"/>
          <w:szCs w:val="20"/>
        </w:rPr>
        <w:t xml:space="preserve"> 延迟、吞吐量目标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可用性（Availability）：</w:t>
      </w:r>
      <w:r>
        <w:rPr>
          <w:rFonts w:ascii="Arial" w:cs="Arial" w:eastAsia="Arial" w:hAnsi="Arial"/>
          <w:sz w:val="20"/>
          <w:szCs w:val="20"/>
        </w:rPr>
        <w:t xml:space="preserve"> SLA 等级与停机预算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可靠性（Reliability）：</w:t>
      </w:r>
      <w:r>
        <w:rPr>
          <w:rFonts w:ascii="Arial" w:cs="Arial" w:eastAsia="Arial" w:hAnsi="Arial"/>
          <w:sz w:val="20"/>
          <w:szCs w:val="20"/>
        </w:rPr>
        <w:t xml:space="preserve"> 故障恢复与数据一致性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安全性（Security）：</w:t>
      </w:r>
      <w:r>
        <w:rPr>
          <w:rFonts w:ascii="Arial" w:cs="Arial" w:eastAsia="Arial" w:hAnsi="Arial"/>
          <w:sz w:val="20"/>
          <w:szCs w:val="20"/>
        </w:rPr>
        <w:t xml:space="preserve"> 访问控制与审计要求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可扩展性（Scalability）：</w:t>
      </w:r>
      <w:r>
        <w:rPr>
          <w:rFonts w:ascii="Arial" w:cs="Arial" w:eastAsia="Arial" w:hAnsi="Arial"/>
          <w:sz w:val="20"/>
          <w:szCs w:val="20"/>
        </w:rPr>
        <w:t xml:space="preserve"> 并发与容量上限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可观测性（Observability）：</w:t>
      </w:r>
      <w:r>
        <w:rPr>
          <w:rFonts w:ascii="Arial" w:cs="Arial" w:eastAsia="Arial" w:hAnsi="Arial"/>
          <w:sz w:val="20"/>
          <w:szCs w:val="20"/>
        </w:rPr>
        <w:t xml:space="preserve"> 日志、指标、告警规范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二、核心指标总览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以下是系统最关键的非功能性量化指标，构成系统验收的底线：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760"/>
      </w:tblGrid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核心指标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目标值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测量方式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性能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决策到广播端到端延迟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P99 &lt; 500ms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全链路 Trace ID 计时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性能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链上确认等待时间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P50 &lt; 15s（正常 Gas）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广播到 CONFIRMED 状态计时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可用性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核心执行链路（P0）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99.9% / 月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实时心跳监控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可用性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风控与数据层（P1）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99.5% / 月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实时心跳监控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可靠性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交易幂等性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100%（零重复执行）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FSM 状态审计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可靠性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对账差异率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 0%（零容忍）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每区块自动对账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可靠性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数据可复现性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100%（历史回测可精确重放）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数据哈希校验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安全性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大额人工审批覆盖率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100%（&gt; $10,000 单笔）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审批日志审计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扩展性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最大并发策略数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50 个策略同时运行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压力测试验证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可观测性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全链路日志覆盖率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交易有 Trace ID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日志完整性检查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三、性能指标（Performance）</w:t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端到端执行延迟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从策略触发决策到交易广播上链的全链路时间，是衡量系统实时性的核心指标。延迟过高意味着在价格快速变动时，决策基于的价格与实际执行价格之间存在较大偏差。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1600"/>
        <w:gridCol w:w="1760"/>
      </w:tblGrid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时间节点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P50 目标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P99 目标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超时熔断阈值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数据获取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水位线校验完成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10ms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50ms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200ms 触发切换备用源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策略计算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on_tick() 执行完成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50ms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200ms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500ms 取消本次决策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EVM 仿真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Anvil 模拟执行完成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100ms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300ms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1s 取消本次决策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签名请求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MPC 节点返回签名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100ms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200ms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2s 告警，&gt; 5s 熔断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广播上链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交易进入 mempool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50ms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150ms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500ms 切换 RPC 节点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全链路合计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触发决策到广播完成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300ms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500ms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1s 记录为异常执行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测量方法：</w:t>
      </w:r>
      <w:r>
        <w:rPr>
          <w:rFonts w:ascii="Arial" w:cs="Arial" w:eastAsia="Arial" w:hAnsi="Arial"/>
          <w:sz w:val="20"/>
          <w:szCs w:val="20"/>
        </w:rPr>
        <w:t xml:space="preserve"> 全链路 Trace ID 在每个阶段打时间戳，数据写入时序数据库（如 InfluxDB），P50/P99 按滚动 1 小时窗口计算。每日生成延迟分布报告。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链上确认延迟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从交易广播到链上最终确认（6 个区块）的等待时间，受网络拥堵和 Gas 策略影响。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1760"/>
      </w:tblGrid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网络状态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判断条件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P50 确认时间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P99 确认时间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应对策略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正常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baseFee &lt; 30 Gwei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15s（约 1–2 区块）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60s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常规 Gas 策略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轻度拥堵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baseFee 30–100 Gwei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30s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120s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提升 priorityFee 10%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重度拥堵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baseFee &gt; 100 Gwei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60s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300s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触发阶梯 Gas 加速机制</w:t>
            </w:r>
          </w:p>
        </w:tc>
      </w:tr>
      <w:tr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网络异常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交易 &gt; 5min 未确认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N/A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FSM 进入 REORG 检测，考虑 Cancel/Replace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回测与模拟性能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评估系统的计算性能目标，直接影响策略迭代速度：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21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任务类型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数据规模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目标完成时间</w:t>
            </w:r>
          </w:p>
        </w:tc>
        <w:tc>
          <w:tcPr>
            <w:tcW w:type="dxa" w:w="2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并行支持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单策略历史回测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天 Tick 级数据（约 5000 万条）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 分钟</w:t>
            </w:r>
          </w:p>
        </w:tc>
        <w:tc>
          <w:tcPr>
            <w:tcW w:type="dxa" w:w="2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是（多进程）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蒙特卡洛模拟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5000 轮 × 30 天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60 分钟</w:t>
            </w:r>
          </w:p>
        </w:tc>
        <w:tc>
          <w:tcPr>
            <w:tcW w:type="dxa" w:w="2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是（多进程）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Fuzzing 测试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1000 轮极端场景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20 分钟</w:t>
            </w:r>
          </w:p>
        </w:tc>
        <w:tc>
          <w:tcPr>
            <w:tcW w:type="dxa" w:w="2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EVM 仿真精度测试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 组随机输入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 分钟</w:t>
            </w:r>
          </w:p>
        </w:tc>
        <w:tc>
          <w:tcPr>
            <w:tcW w:type="dxa" w:w="2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否（顺序执行保证可复现性）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影子模式实时计算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每区块触发一次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2s / 区块</w:t>
            </w:r>
          </w:p>
        </w:tc>
        <w:tc>
          <w:tcPr>
            <w:tcW w:type="dxa" w:w="2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是（按策略并行）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四、可用性指标（Availability）</w:t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SLA 等级定义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系统按模块重要性划分三个 SLA 等级，分配不同的停机预算：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1800"/>
        <w:gridCol w:w="1960"/>
      </w:tblGrid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等级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年停机上限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月停机上限</w:t>
            </w:r>
          </w:p>
        </w:tc>
        <w:tc>
          <w:tcPr>
            <w:tcW w:type="dxa" w:w="1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适用模块</w:t>
            </w:r>
          </w:p>
        </w:tc>
      </w:tr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  核心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策略执行、MPC签名、FSM状态机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8.7 小时（99.9%）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43 分钟</w:t>
            </w:r>
          </w:p>
        </w:tc>
        <w:tc>
          <w:tcPr>
            <w:tcW w:type="dxa" w:w="1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实盘关键路径</w:t>
            </w:r>
          </w:p>
        </w:tc>
      </w:tr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P1  重要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风控熔断、预言机校验、对账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43.8 小时（99.5%）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3.6 小时</w:t>
            </w:r>
          </w:p>
        </w:tc>
        <w:tc>
          <w:tcPr>
            <w:tcW w:type="dxa" w:w="1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风控与数据层</w:t>
            </w:r>
          </w:p>
        </w:tc>
      </w:tr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P2  一般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回测引擎、蒙卡模拟、历史查询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87.6 小时（99.0%）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7.2 小时</w:t>
            </w:r>
          </w:p>
        </w:tc>
        <w:tc>
          <w:tcPr>
            <w:tcW w:type="dxa" w:w="1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评估与分析模块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可用性计算口径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规范项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可用性定义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系统能够正确处理请求并返回预期结果的时间比例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统计周期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以自然月为单位计算，不跨月累计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停机计入条件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核心功能不可用 &gt; 1 分钟，或错误率 &gt; 5% 持续 &gt; 1 分钟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计划内维护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须提前 24 小时通知，纳入停机预算计算（不豁免）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部分降级处理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若仅非核心功能不可用（如历史查询），不计入 P0 停机时间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6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监控系统的心跳探针记录，每 30 秒一次，不可人工修改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故障恢复时间目标（RTO / RPO）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RTO（恢复时间目标）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RPO（恢复点目标）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FSM 状态机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 分钟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0（零数据丢失）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重启后从持久化状态恢复，无需人工介入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MPC 签名服务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 分钟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备用 MPC 节点自动接管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数据索引器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10 分钟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 个区块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重启后从最后同步区块继续，补全缺口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对账服务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15 分钟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对账记录持久化，重启后继续未完成对账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回测引擎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 分钟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 小时计算结果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非核心路径，允许较长恢复时间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五、可靠性指标（Reliability）</w:t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交易幂等性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同一笔交易在任何异常情况下（网络中断、进程崩溃、Nonce 冲突）只能被执行一次，这是资金安全的底线。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异常场景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FSM 预期行为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验证方法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进程崩溃后重启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 BROADCASTED 状态恢复，查询链上 Nonce 确认是否已上链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混沌测试：强制 kill 进程后验证无重复执行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RPC 超时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保持 BROADCASTED 状态，定期轮询确认，不重新广播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网络隔离测试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收到重复触发信号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检查 FSM 状态，若已在 SIGNED 及以后状态，拒绝重复处理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并发压力测试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Nonce 冲突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检测到 nonce already used 后，标记为 CONFLICT，等待人工确认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主动发送 Nonce 冲突交易测试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链上 Reorg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检测到区块哈希变化后，将受影响交易回退至 INIT 状态重新评估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本地 Anvil 模拟 Reorg 场景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数据一致性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一致性场景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检测频率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违反时的处理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账本与链上余额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差异 = 0（零容忍）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每区块自动对账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立即暂停策略，触发人工核查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FSM 状态与链上状态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FSM 状态与链上 Nonce / 确认状态一致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每区块校验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自动触发 FSM 状态修复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回测数据完整性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区块序列无间隔，无重复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每日全量校验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从备用源重新拉取缺失区块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验证报告可复现性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相同输入 + 相同种子 = 相同结果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每次报告生成后抽样验证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标记报告为不可信，触发重新生成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降级策略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当部分组件不可用时，系统应按以下降级策略保障核心功能：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故障组件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降级行为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降级期间限制</w:t>
            </w:r>
          </w:p>
        </w:tc>
        <w:tc>
          <w:tcPr>
            <w:tcW w:type="dxa" w:w="2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恢复条件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单个 RPC 节点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自动切换至备用节点，记录节点不可用事件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无限制，透明切换</w:t>
            </w:r>
          </w:p>
        </w:tc>
        <w:tc>
          <w:tcPr>
            <w:tcW w:type="dxa" w:w="2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备用节点延迟 &lt; 200ms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Chainlink 预言机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使用 TWAP + Slot0 双源校验，适当放宽偏差阈值至 1%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仅执行双源校验通过的交易</w:t>
            </w:r>
          </w:p>
        </w:tc>
        <w:tc>
          <w:tcPr>
            <w:tcW w:type="dxa" w:w="2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Chainlink 数据恢复更新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MPC 签名服务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暂停所有新交易，已在队列中的交易挂起等待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零新交易，仓位冻结</w:t>
            </w:r>
          </w:p>
        </w:tc>
        <w:tc>
          <w:tcPr>
            <w:tcW w:type="dxa" w:w="2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MPC 服务恢复且通过自检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索引器同步延迟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水位线熔断，停止发单，等待同步追上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零新交易</w:t>
            </w:r>
          </w:p>
        </w:tc>
        <w:tc>
          <w:tcPr>
            <w:tcW w:type="dxa" w:w="2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SyncBlock 追上至 CurrentBlock - 2 以内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蒙卡/回测引擎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影响验证流程，P0/P1 核心模块不受影响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新策略无法完成 EVALUATED 状态流转</w:t>
            </w:r>
          </w:p>
        </w:tc>
        <w:tc>
          <w:tcPr>
            <w:tcW w:type="dxa" w:w="2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引擎恢复后继续排队任务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六、安全性指标（Security）</w:t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访问控制量化要求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控制项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量化要求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审计方式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大额交易人工审批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单笔 &gt; $10,000 的 100% 需要管理员二次确认，无例外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审批日志全量审计，每日报告未审批占比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参数变更时间锁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核心风控参数变更必须经过 ≥ 24 小时时间锁，100% 覆盖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链上时间锁合约事件日志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白名单合约覆盖率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策略执行的 100% 合约调用必须在白名单内，零例外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每笔交易前静态分析检查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MPC 签名授权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策略仅生成无签名 Payload，签名 100% 由 MPC 节点独立完成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签名来源日志审计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管理员操作日志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的管理员操作（含查询）生成不可篡改的审计日志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日志哈希链校验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密钥与凭据安全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规范项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私钥存储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私钥不得出现在任何配置文件、日志、环境变量中；全部由 MPC 节点托管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密钥轮换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第三方 API 密钥（RPC 节点、预言机）每 90 天强制轮换一次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密钥访问审计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每次 MPC 签名操作记录操作者身份、时间戳、授权原因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紧急撤销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全局 Kill Switch 能在 &lt; 60 秒内撤销所有 Token 授权（Revoke）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多签阈值</w:t>
            </w:r>
          </w:p>
        </w:tc>
        <w:tc>
          <w:tcPr>
            <w:tcW w:type="dxa" w:w="6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Guardian 钱包实行 M-of-N 多签（默认 2-of-3），阈值变更须经时间锁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七、可扩展性指标（Scalability）</w:t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并发容量目标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并发维度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当前目标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设计上限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扩展方式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同时运行策略数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50 个策略并发运行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个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水平扩展策略执行进程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每秒交易触发量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20 TPS（触发，非链上）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TPS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消息队列缓冲 + 多消费者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同时进行的回测任务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5 个并发回测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个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独立计算节点池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支持的链数量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5 条 EVM 兼容链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条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Adapter Registry 按链扩展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支持的协议数量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10 个 DeFi 协议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无硬性上限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Adapter 插件化注册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历史数据查询并发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10 个并发查询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个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查询缓存 + 读写分离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容量规划基准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以下为单策略的资源消耗基准，用于容量规划和成本估算：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资源类型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单策略消耗基准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50 策略估算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内存（运行时）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~50MB / 策略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~2.5GB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含策略状态、缓存价格、FSM 队列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CPU（稳定运行）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~0.1 核 / 策略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 核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数据处理和决策计算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CPU（EVM 仿真峰值）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 核 / 策略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 核（短时）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仅在执行前模拟时触发，持续 &lt; 500ms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存储（历史数据）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~50GB / 链 / 月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与策略数无关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历史数据是共享的，不随策略数线性增长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网络（RPC 调用）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~100 次调用 / 区块 / 策略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~5000 次 / 区块</w:t>
            </w:r>
          </w:p>
        </w:tc>
        <w:tc>
          <w:tcPr>
            <w:tcW w:type="dxa" w:w="2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按调用频率规划 RPC 节点配额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八、可观测性指标（Observability）</w:t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日志规范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600"/>
        <w:gridCol w:w="3160"/>
      </w:tblGrid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日志级别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使用场景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保留时长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系统异常、验证失败、对账差异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永久保留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StaleDataError、FSM 非法状态转换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熔断触发、降级启动、阈值临近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天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三源预言机偏差 &gt; 0.3%（未达熔断）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正常业务流程、状态变更、交易广播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天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策略触发、交易 CONFIRMED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DEBUG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详细计算过程、数据获取明细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天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EVM 仿真输入输出、Tick 计算过程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全链路 Trace ID：</w:t>
      </w:r>
      <w:r>
        <w:rPr>
          <w:rFonts w:ascii="Arial" w:cs="Arial" w:eastAsia="Arial" w:hAnsi="Arial"/>
          <w:sz w:val="20"/>
          <w:szCs w:val="20"/>
        </w:rPr>
        <w:t xml:space="preserve"> 每次策略触发生成唯一 trace_id，贯穿「决策 → 仿真 → 签名 → 广播 → 确认 → 对账」全流程。任意环节的日志均可通过 trace_id 关联。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监控告警规范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9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告警名称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告警级别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响应时限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执行延迟超标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P99 延迟 &gt; 500ms 持续 5 分钟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 分钟响应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对账差异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任意对账差异 &gt; 0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10 分钟响应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数据水位线落后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SyncBlock 落后 &gt; 5 个区块持续 1 分钟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15 分钟响应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可用性 SLA 临近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当月累计停机时间达到 SLA 上限的 80%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 小时评估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大额交易待审批超时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审批队列中有 &gt; $10,000 交易等待超过 30 分钟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 小时响应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预言机熔断频率过高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 20 次熔断 / 小时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 小时调查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MPC 签名延迟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签名响应时间 &gt; 2 秒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15 分钟响应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FSM 卡死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同一交易在 BROADCASTED 状态超过 10 分钟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20 分钟响应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定期报告要求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560"/>
        <w:gridCol w:w="2400"/>
      </w:tblGrid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报告类型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频率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核心内容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接收方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系统健康日报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每日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SLA 达成率、延迟分布、熔断次数、对账状态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团队全员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策略绩效周报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每周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各策略 PnL、Gas 消耗、资金利用率、异常事件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策略开发者 + 管理员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安全审计月报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每月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大额审批记录、参数变更记录、密钥轮换状态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管理员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容量规划季报</w:t>
            </w:r>
          </w:p>
        </w:tc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每季度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资源消耗趋势、SLA 达成趋势、扩容建议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管理员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九、NFR 验收矩阵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以下指标是系统上线（策略进入 LIVE 状态）前必须通过的非功能性验收条件：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测试方法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负责人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端到端延迟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压测下 P99 &lt; 500ms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JMeter / 自定义压测脚本，50 并发策略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技术负责人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幂等性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1000 轮混沌测试零重复执行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随机 kill 进程 + Nonce 冲突注入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技术负责人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对账准确性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笔测试交易零差异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Staged 环境全量对账审计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运营负责人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MPC 签名覆盖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所有交易 100% 经 MPC 签名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日志审计：无绕过 MPC 的私钥签名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安全负责人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时间锁有效性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参数变更 100% 经过 24h 时间锁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提交变更后立即尝试绕过，验证被拦截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安全负责人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Kill Switch 响应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60 秒完成所有 Token 授权撤销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生产环境演练（使用测试资产）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管理员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策略并发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个策略同时运行，无资源争用或状态污染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并发压力测试，持续 24 小时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技术负责人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数据可复现性</w:t>
            </w:r>
          </w:p>
        </w:tc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同一回测任务重复运行 3 次结果完全一致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自动化回归测试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技术负责人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十、文档版本记录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160"/>
      </w:tblGrid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变更内容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作者</w:t>
            </w:r>
          </w:p>
        </w:tc>
      </w:tr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2026-02-25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初始版本，定义六大维度全部非功能性量化指标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 策略团队</w:t>
            </w:r>
          </w:p>
        </w:tc>
      </w:tr>
    </w:tbl>
    <w:p>
      <w:pPr>
        <w:spacing w:before="0"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 w:after="0"/>
    </w:pPr>
    <w:r>
      <w:rPr>
        <w:rFonts w:ascii="Arial" w:cs="Arial" w:eastAsia="Arial" w:hAnsi="Arial"/>
        <w:color w:val="888888"/>
        <w:sz w:val="18"/>
        <w:szCs w:val="18"/>
      </w:rPr>
      <w:t xml:space="preserve">PRD 附属文档 v1.0  |  Non-Functional Requirements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60"/>
    </w:pPr>
    <w:r>
      <w:rPr>
        <w:rFonts w:ascii="Arial" w:cs="Arial" w:eastAsia="Arial" w:hAnsi="Arial"/>
        <w:color w:val="888888"/>
        <w:sz w:val="18"/>
        <w:szCs w:val="18"/>
      </w:rPr>
      <w:t xml:space="preserve">DeFi 自动化交易基础设施  |  非功能性量化指标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2026-02-25T07:18:46.997Z</dcterms:created>
  <dcterms:modified xsi:type="dcterms:W3CDTF">2026-02-25T07:18:46.998Z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