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4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DeFi 自动化交易基础设施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验证门控标准说明文档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Validation Quality Gate Standard</w:t>
      </w:r>
    </w:p>
    <w:p>
      <w:pPr>
        <w:pBdr>
          <w:top w:val="single" w:color="2E75B6" w:sz="4" w:space="4"/>
          <w:bottom w:val="single" w:color="2E75B6" w:sz="4" w:space="4"/>
        </w:pBdr>
        <w:spacing w:before="160" w:after="160"/>
        <w:jc w:val="center"/>
      </w:pPr>
      <w:r>
        <w:rPr>
          <w:rFonts w:ascii="Arial" w:cs="Arial" w:eastAsia="Arial" w:hAnsi="Arial"/>
          <w:color w:val="1A3A5C"/>
          <w:sz w:val="20"/>
          <w:szCs w:val="20"/>
        </w:rPr>
        <w:t xml:space="preserve">PRD 附属文档  |  版本 1.0  |  2026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一、文档目的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本文档定义策略生命周期中每个验证关卡（Quality Gate）的具体通过标准，回答「怎么算通过」的问题。所有标准须可被自动化系统执行，确保 AI Agent 能够无歧义地判断策略是否可以推进至下一阶段。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验证门控的设计原则：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客观可量化：</w:t>
      </w:r>
      <w:r>
        <w:rPr>
          <w:rFonts w:ascii="Arial" w:cs="Arial" w:eastAsia="Arial" w:hAnsi="Arial"/>
          <w:sz w:val="20"/>
          <w:szCs w:val="20"/>
        </w:rPr>
        <w:t xml:space="preserve"> 每项标准均有明确的数值阈值，不依赖主观判断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分层递进：</w:t>
      </w:r>
      <w:r>
        <w:rPr>
          <w:rFonts w:ascii="Arial" w:cs="Arial" w:eastAsia="Arial" w:hAnsi="Arial"/>
          <w:sz w:val="20"/>
          <w:szCs w:val="20"/>
        </w:rPr>
        <w:t xml:space="preserve"> G1–G4 保障安全性，G5–G6 评估收益性，G7–G8 验证生产就绪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快速失败：</w:t>
      </w:r>
      <w:r>
        <w:rPr>
          <w:rFonts w:ascii="Arial" w:cs="Arial" w:eastAsia="Arial" w:hAnsi="Arial"/>
          <w:sz w:val="20"/>
          <w:szCs w:val="20"/>
        </w:rPr>
        <w:t xml:space="preserve"> 低成本的关卡（静态分析）优先执行，避免浪费计算资源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可配置：</w:t>
      </w:r>
      <w:r>
        <w:rPr>
          <w:rFonts w:ascii="Arial" w:cs="Arial" w:eastAsia="Arial" w:hAnsi="Arial"/>
          <w:sz w:val="20"/>
          <w:szCs w:val="20"/>
        </w:rPr>
        <w:t xml:space="preserve"> 阈值参数集中管理，不同策略类型可使用差异化配置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二、关卡总览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策略从 DRAFT 到 LIVE 需通过 8 个关卡，按执行顺序排列如下：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2200"/>
        <w:gridCol w:w="1760"/>
      </w:tblGrid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关卡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流转区间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最短耗时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 静态分析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VALIDATED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全自动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类型完整 + 参数合规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30s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G2 EVM 仿真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VALIDATED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全自动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链下链上结果位级对齐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2min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G3 不变性断言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VALIDATED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全自动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全部断言 100% 通过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5min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G4 Fuzzing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→ VALIDATED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全自动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1000 轮无破线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30min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G5 回测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 → EVALUATED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全自动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Sharpe/回撤/Gas 达标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60min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G6 蒙特卡洛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VALIDATED → EVALUATED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全自动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置信区间正收益 ≥ 60%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90min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G7 影子对比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SHADOWED → STAGED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人工确认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偏差 ≤ ±15%，运行 ≥ 72h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72h</w:t>
            </w:r>
          </w:p>
        </w:tc>
      </w:tr>
      <w:tr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G8 Staged 验收</w:t>
            </w:r>
          </w:p>
        </w:tc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STAGED → LIVE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人工审批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7天无异常 + 管理员签字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说明：</w:t>
      </w:r>
      <w:r>
        <w:rPr>
          <w:rFonts w:ascii="Arial" w:cs="Arial" w:eastAsia="Arial" w:hAnsi="Arial"/>
          <w:sz w:val="20"/>
          <w:szCs w:val="20"/>
        </w:rPr>
        <w:t xml:space="preserve"> G1–G6 由 SDK 全自动执行，结果以结构化 JSON 报告输出；G7–G8 需人工确认，但判断依据仍由系统自动计算提供。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三、安全性关卡（G1–G4）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安全性关卡对应生命周期中的 DRAFT → VALIDATED 阶段，目标是证明策略在任何条件下都不会产生超出预期的损失。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  静态分析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在执行任何动态仿真前，先对策略代码和配置进行静态检查，耗时极短，是最低成本的关卡。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检查项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失败处理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接口完整性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实现 BaseStrategy 全部必填方法，无缺失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报告缺失方法名，拒绝进入后续关卡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invariants 非空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至少声明 1 个不变性约束（如 MaxDrawdown）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提示开发者补充风控约束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风控参数类型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所有阈值参数类型正确（数值非字符串）且在合理范围内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报告具体字段和实际值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协议适配器存在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策略引用的所有 Adapter ID 在注册表中有效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列出无效 Adapter ID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白名单合约</w:t>
            </w:r>
          </w:p>
        </w:tc>
        <w:tc>
          <w:tcPr>
            <w:tcW w:type="dxa" w:w="3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策略调用的合约地址全部在白名单内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列出未授权合约地址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G2  EVM 仿真精度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验证链下计算结果与链上 Solidity 执行结果的一致性，消除回测和实盘之间的系统性误差。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2800"/>
      </w:tblGrid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测试场景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可接受误差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整数除法舍入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链下结果与 Solidity floor 除法结果完全一致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0（必须位级对齐）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TickMath 计算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sqrt(price) 计算结果与链上 TickMath 偏差为 0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0（必须位级对齐）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uint256 溢出边界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边界值（0, 2^256-1）处理与链上行为一致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费率累积计算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多步费率复利结果与链上 feeGrowthGlobal 一致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 wei</w:t>
            </w:r>
          </w:p>
        </w:tc>
      </w:tr>
      <w:tr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流动性计算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getLiquidityForAmounts 结果与合约输出一致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 wei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执行方式：</w:t>
      </w:r>
      <w:r>
        <w:rPr>
          <w:rFonts w:ascii="Arial" w:cs="Arial" w:eastAsia="Arial" w:hAnsi="Arial"/>
          <w:sz w:val="20"/>
          <w:szCs w:val="20"/>
        </w:rPr>
        <w:t xml:space="preserve"> 对每个计算函数生成 500 组随机输入，对比链下 SDK 与 Anvil fork 上的链上调用结果。全部通过方可进入 G3。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G3  不变性断言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验证策略声明的所有 invariants 在标准场景下均能被满足，确保物理底线有效。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不变性类型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默认阈值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MaxDrawdown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单次执行 U 本位跌幅 ≤ 1%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场景下满足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保护本金不被单次交易大幅侵蚀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MaxSlippage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实际滑点 ≤ 声明滑点容忍度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场景下满足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防止在流动性薄弱时超额滑点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MaxGasMultiple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 Gas ≤ 估算 Gas × 3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场景下满足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防止 Gas 估算严重低估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PositionLimitPct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单策略持仓 ≤ 资金池上限比例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场景下满足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隔离单策略风险</w:t>
            </w:r>
          </w:p>
        </w:tc>
      </w:tr>
      <w:tr>
        <w:tc>
          <w:tcPr>
            <w:tcW w:type="dxa" w:w="2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 invariant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开发者自定义的断言逻辑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场景下满足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支持扩展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重要：</w:t>
      </w:r>
      <w:r>
        <w:rPr>
          <w:rFonts w:ascii="Arial" w:cs="Arial" w:eastAsia="Arial" w:hAnsi="Arial"/>
          <w:sz w:val="20"/>
          <w:szCs w:val="20"/>
        </w:rPr>
        <w:t xml:space="preserve"> 不变性断言要求 100% 通过，无例外。即使 999/1000 场景通过，仍判定为失败，策略退回 DRAFT。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G4  极端 Fuzzing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主动注入极端和边界参数，测试策略在真实对抗环境下的鲁棒性。这是安全性关卡中耗时最长、覆盖面最广的一关。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3760"/>
      </w:tblGrid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Fuzzing 维度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参数范围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轮次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价格波动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1x ~ 1000x 基准 Gas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轮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无单次亏损超 MaxDrawdown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流动性枯竭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目标池流动性降至 0.1% ~ 100%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轮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策略正确拒绝执行或降级处理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价格极端跳动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±10% ~ ±90% 单区块价格变化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轮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三源预言机正确触发熔断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网络延迟/超时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RPC 超时 0ms ~ 30s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 轮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正确进入 BROADCASTED 状态等待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Nonce 冲突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并发发送相同 Nonce 交易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轮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幂等状态机正确处理，无资金丢失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区块重组</w:t>
            </w:r>
          </w:p>
        </w:tc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模拟 1~3 个区块的 reorg</w:t>
            </w:r>
          </w:p>
        </w:tc>
        <w:tc>
          <w:tcPr>
            <w:tcW w:type="dxa" w:w="1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轮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FSM 检测到 REORG，回滚至正确状态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总计：</w:t>
      </w:r>
      <w:r>
        <w:rPr>
          <w:rFonts w:ascii="Arial" w:cs="Arial" w:eastAsia="Arial" w:hAnsi="Arial"/>
          <w:sz w:val="20"/>
          <w:szCs w:val="20"/>
        </w:rPr>
        <w:t xml:space="preserve"> 1000 轮 Fuzzing，全部通过（0 次破线）方可进入评估阶段。允许策略正确拒绝执行（即触发熔断），但不允许产生超限损失。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四、绩效关卡（G5–G6）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绩效关卡对应 VALIDATED → EVALUATED 阶段，目标是证明策略在统计意义上具备正期望收益，且风险收益比可接受。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G5  历史回测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在真实历史区块数据上重放策略，评估其在已发生市场环境中的表现。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默认通过阈值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回测时间跨度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90 天历史数据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须覆盖牛市、熊市、震荡市各至少一段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数据精度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交易级别（非 OHLC）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须包含真实链上 tick 数据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年化 Sharpe Ratio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1.0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基准：无风险利率 = 0（DeFi 场景）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最大回撤（MDD）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20%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以 U 本位计算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Calmar Ratio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0.5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年化收益 / 最大回撤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 Gas 成本占比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毛收益的 30%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成本必须纳入净收益计算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40%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长期闲置资金视为策略效率低下</w:t>
            </w:r>
          </w:p>
        </w:tc>
      </w:tr>
      <w:tr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盈亏比（Profit Factor）</w:t>
            </w:r>
          </w:p>
        </w:tc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1.3</w:t>
            </w:r>
          </w:p>
        </w:tc>
        <w:tc>
          <w:tcPr>
            <w:tcW w:type="dxa" w:w="33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总盈利 / 总亏损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回测数据要求：</w:t>
      </w:r>
      <w:r>
        <w:rPr>
          <w:rFonts w:ascii="Arial" w:cs="Arial" w:eastAsia="Arial" w:hAnsi="Arial"/>
          <w:sz w:val="20"/>
          <w:szCs w:val="20"/>
        </w:rPr>
        <w:t xml:space="preserve"> 须使用 SDK 提供的标准数据源，禁止使用开发者自行清洗的非标数据，确保回测可复现。每次回测生成唯一 Hash 与数据快照绑定。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G6  蒙特卡洛模拟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在随机化市场参数空间内进行大量模拟，评估策略的统计鲁棒性，消除回测对特定历史路径的过拟合风险。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模拟参数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随机化范围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市场波动率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历史波动率的 0.5x ~ 3x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覆盖低波动与极高波动场景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流动性深度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历史均值的 10% ~ 200%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覆盖流动性危机场景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基准价格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历史均值的 0.5x ~ 10x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覆盖网络拥堵场景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起始时间偏移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随机选取历史区间起点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避免对特定市场周期的路径依赖</w:t>
            </w:r>
          </w:p>
        </w:tc>
      </w:tr>
      <w:tr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手续费率变动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±50% 范围内随机变化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模拟协议费率调整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统计指标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正收益模拟占比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60%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超过 60% 的随机场景下策略盈利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中位数年化收益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0%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中位数场景不亏损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最差 5% 分位回撤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40%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极端情况下损失可控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收益标准差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中位数收益的 3x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收益分布不能过度发散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模拟总轮次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5000 轮</w:t>
            </w:r>
          </w:p>
        </w:tc>
        <w:tc>
          <w:tcPr>
            <w:tcW w:type="dxa" w:w="4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确保统计置信度</w:t>
            </w:r>
          </w:p>
        </w:tc>
      </w:tr>
    </w:tbl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五、生产就绪关卡（G7–G8）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生产就绪关卡需要人工参与确认，但判断依据由系统自动计算提供，确保决策有数据支撑。</w:t>
      </w:r>
    </w:p>
    <w:p>
      <w:pPr>
        <w:spacing w:before="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G7  影子模式对比验收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对比影子模式下的假设执行结果与真实市场变化，验证策略逻辑在真实数据驱动下的行为符合预期。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最短运行时长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72 小时连续运行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覆盖工作日 + 周末的完整市场周期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假设收益偏差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 G5 回测预期偏差 ≤ ±15%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偏差过大说明回测存在过拟合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触发频率偏差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实际触发次数与回测预期偏差 ≤ ±30%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频率偏差过大说明市场条件假设错误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熔断误触率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预言机/水位线误触发次数 ≤ 5 次/天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过多误触发说明阈值需要调整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系统稳定性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无 StaleDataError / FSM 状态异常 / 对账差异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基础设施层必须完全健康</w:t>
            </w:r>
          </w:p>
        </w:tc>
      </w:tr>
      <w:tr>
        <w:tc>
          <w:tcPr>
            <w:tcW w:type="dxa" w:w="2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估算准确性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实际 Gas 与估算偏差 ≤ ±20%</w:t>
            </w:r>
          </w:p>
        </w:tc>
        <w:tc>
          <w:tcPr>
            <w:tcW w:type="dxa" w:w="35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影子模式的 Gas 估算须与实盘一致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人工确认要求：</w:t>
      </w:r>
      <w:r>
        <w:rPr>
          <w:rFonts w:ascii="Arial" w:cs="Arial" w:eastAsia="Arial" w:hAnsi="Arial"/>
          <w:sz w:val="20"/>
          <w:szCs w:val="20"/>
        </w:rPr>
        <w:t xml:space="preserve"> 系统自动生成影子模式报告，开发者和运营负责人须在报告上签字确认，方可申请进入 STAGED。</w:t>
      </w:r>
    </w:p>
    <w:p>
      <w:pPr>
        <w:spacing w:before="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0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G8  Staged 生产验收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用真实小额资金验证完整交易闭环，包括 MPC 签名、链上执行、对账的端到端流程。</w:t>
      </w:r>
    </w:p>
    <w:p>
      <w:pPr>
        <w:spacing w:before="0" w:after="4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验收项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通过标准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最短运行时长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 个自然日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覆盖完整周度市场节奏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实盘与影子偏差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净收益偏差 ≤ ±20%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超出说明影子模式存在系统性缺陷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交易成功率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95%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失败含：revert / Gas 不足 / 签名超时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零差异（账本与链上余额完全一致）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任何对账差异均视为严重缺陷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大额审批流畅度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&gt;$10,000 单笔均走完审批流程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验证多签流程无卡点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 ID 完整性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100% 交易有完整的全链路日志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不可有孤立交易记录</w:t>
            </w:r>
          </w:p>
        </w:tc>
      </w:tr>
      <w:tr>
        <w:tc>
          <w:tcPr>
            <w:tcW w:type="dxa" w:w="2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管理员最终签字</w:t>
            </w:r>
          </w:p>
        </w:tc>
        <w:tc>
          <w:tcPr>
            <w:tcW w:type="dxa" w:w="30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资金负责人书面审批通过</w:t>
            </w:r>
          </w:p>
        </w:tc>
        <w:tc>
          <w:tcPr>
            <w:tcW w:type="dxa" w:w="3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不可绕过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六、策略类型差异化阈值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不同策略类型的风险收益特征不同，G5–G6 的部分阈值可按策略类型进行差异化配置：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做市策略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套利策略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收益聚合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跨链再平衡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 Sharpe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0.8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1.5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0.6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0.5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最大回撤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15%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10%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25%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20%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成本占比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40%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30%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50%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正收益蒙卡占比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55%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70%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60%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≥ 55%</w:t>
            </w:r>
          </w:p>
        </w:tc>
      </w:tr>
      <w:tr>
        <w:tc>
          <w:tcPr>
            <w:tcW w:type="dxa" w:w="2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最短影子运行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72h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48h</w:t>
            </w:r>
          </w:p>
        </w:tc>
        <w:tc>
          <w:tcPr>
            <w:tcW w:type="dxa" w:w="1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72h</w:t>
            </w:r>
          </w:p>
        </w:tc>
        <w:tc>
          <w:tcPr>
            <w:tcW w:type="dxa" w:w="17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96h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说明：</w:t>
      </w:r>
      <w:r>
        <w:rPr>
          <w:rFonts w:ascii="Arial" w:cs="Arial" w:eastAsia="Arial" w:hAnsi="Arial"/>
          <w:sz w:val="20"/>
          <w:szCs w:val="20"/>
        </w:rPr>
        <w:t xml:space="preserve"> 阈值参数集中存储在 SDK 配置中心，开发者在策略元数据中声明策略类型，系统自动应用对应阈值。自定义阈值须经管理员审批，且不得低于表中最宽松值的 80%。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七、多指标裁决规则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当多个指标出现冲突时，按以下优先级裁决：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200"/>
        <w:gridCol w:w="2960"/>
      </w:tblGrid>
      <w:tr>
        <w:tc>
          <w:tcPr>
            <w:tcW w:type="dxa" w:w="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裁决规则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任意安全性指标失败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G1–G4 任一关卡不通过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立即终止，退回 DRAFT，不进行后续评估</w:t>
            </w:r>
          </w:p>
        </w:tc>
      </w:tr>
      <w:tr>
        <w:tc>
          <w:tcPr>
            <w:tcW w:type="dxa" w:w="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对账差异 &gt; 0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Staged 阶段账本与链上不一致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立即暂停策略，触发人工核查</w:t>
            </w:r>
          </w:p>
        </w:tc>
      </w:tr>
      <w:tr>
        <w:tc>
          <w:tcPr>
            <w:tcW w:type="dxa" w:w="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核心指标不达标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Sharpe 达标但最大回撤超限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整体判定失败，不可用单项指标达标抵消</w:t>
            </w:r>
          </w:p>
        </w:tc>
      </w:tr>
      <w:tr>
        <w:tc>
          <w:tcPr>
            <w:tcW w:type="dxa" w:w="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P3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Gas 成本指标不达标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收益指标均达标但 Gas 占比过高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判定失败，建议优化执行路径后重测</w:t>
            </w:r>
          </w:p>
        </w:tc>
      </w:tr>
      <w:tr>
        <w:tc>
          <w:tcPr>
            <w:tcW w:type="dxa" w:w="8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P4</w:t>
            </w:r>
          </w:p>
        </w:tc>
        <w:tc>
          <w:tcPr>
            <w:tcW w:type="dxa" w:w="2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辅助指标不达标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资金利用率偏低</w:t>
            </w:r>
          </w:p>
        </w:tc>
        <w:tc>
          <w:tcPr>
            <w:tcW w:type="dxa" w:w="29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E8F0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生成警告但不阻断，开发者可确认后继续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八、验证报告输出规范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每次关卡执行后，SDK 自动生成结构化报告，格式须满足以下要求：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唯一标识：</w:t>
      </w:r>
      <w:r>
        <w:rPr>
          <w:rFonts w:ascii="Arial" w:cs="Arial" w:eastAsia="Arial" w:hAnsi="Arial"/>
          <w:sz w:val="20"/>
          <w:szCs w:val="20"/>
        </w:rPr>
        <w:t xml:space="preserve"> 每份报告携带 report_id（UUID）和 strategy_version_hash，确保可追溯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关卡结论：</w:t>
      </w:r>
      <w:r>
        <w:rPr>
          <w:rFonts w:ascii="Arial" w:cs="Arial" w:eastAsia="Arial" w:hAnsi="Arial"/>
          <w:sz w:val="20"/>
          <w:szCs w:val="20"/>
        </w:rPr>
        <w:t xml:space="preserve"> 每个关卡输出 PASS / FAIL / WARN 三态结论，附具体触发原因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指标快照：</w:t>
      </w:r>
      <w:r>
        <w:rPr>
          <w:rFonts w:ascii="Arial" w:cs="Arial" w:eastAsia="Arial" w:hAnsi="Arial"/>
          <w:sz w:val="20"/>
          <w:szCs w:val="20"/>
        </w:rPr>
        <w:t xml:space="preserve"> 所有数值型指标必须包含实际值、阈值和偏差百分比三列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可复现性：</w:t>
      </w:r>
      <w:r>
        <w:rPr>
          <w:rFonts w:ascii="Arial" w:cs="Arial" w:eastAsia="Arial" w:hAnsi="Arial"/>
          <w:sz w:val="20"/>
          <w:szCs w:val="20"/>
        </w:rPr>
        <w:t xml:space="preserve"> 报告必须包含数据源 block_range、随机数种子（Fuzzing/蒙卡），确保结果可重现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AI 可消费：</w:t>
      </w:r>
      <w:r>
        <w:rPr>
          <w:rFonts w:ascii="Arial" w:cs="Arial" w:eastAsia="Arial" w:hAnsi="Arial"/>
          <w:sz w:val="20"/>
          <w:szCs w:val="20"/>
        </w:rPr>
        <w:t xml:space="preserve"> 输出标准 JSON 格式，供 AI 反馈飞轮自动解析并生成优化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不可篡改：</w:t>
      </w:r>
      <w:r>
        <w:rPr>
          <w:rFonts w:ascii="Arial" w:cs="Arial" w:eastAsia="Arial" w:hAnsi="Arial"/>
          <w:sz w:val="20"/>
          <w:szCs w:val="20"/>
        </w:rPr>
        <w:t xml:space="preserve"> 报告生成后内容锁定，修改须生成新版本，历史版本永久保留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九、文档版本记录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200"/>
        <w:gridCol w:w="3160"/>
      </w:tblGrid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变更内容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作者</w:t>
            </w:r>
          </w:p>
        </w:tc>
      </w:tr>
      <w:tr>
        <w:tc>
          <w:tcPr>
            <w:tcW w:type="dxa" w:w="14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2026-02-25</w:t>
            </w:r>
          </w:p>
        </w:tc>
        <w:tc>
          <w:tcPr>
            <w:tcW w:type="dxa" w:w="320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初始版本，定义 G1–G8 全部门控标准</w:t>
            </w:r>
          </w:p>
        </w:tc>
        <w:tc>
          <w:tcPr>
            <w:tcW w:type="dxa" w:w="3160"/>
            <w:tcBorders>
              <w:top w:val="single" w:color="BDD0E5" w:sz="1"/>
              <w:left w:val="single" w:color="BDD0E5" w:sz="1"/>
              <w:bottom w:val="single" w:color="BDD0E5" w:sz="1"/>
              <w:right w:val="single" w:color="BDD0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 策略团队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 w:after="0"/>
    </w:pPr>
    <w:r>
      <w:rPr>
        <w:rFonts w:ascii="Arial" w:cs="Arial" w:eastAsia="Arial" w:hAnsi="Arial"/>
        <w:color w:val="888888"/>
        <w:sz w:val="18"/>
        <w:szCs w:val="18"/>
      </w:rPr>
      <w:t xml:space="preserve">PRD 附属文档 v1.0  |  Validation Quality Gate Standard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DeFi 自动化交易基础设施  |  验证门控标准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2026-02-25T07:08:41.006Z</dcterms:created>
  <dcterms:modified xsi:type="dcterms:W3CDTF">2026-02-25T07:08:41.007Z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