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在言说与沉默之间——论认知的谦逊与开放的智慧</w:t>
      </w:r>
    </w:p>
    <w:p>
      <w:pPr>
        <w:ind w:firstLine="480"/>
      </w:pPr>
      <w:r>
        <w:rPr>
          <w:rFonts w:ascii="SimSun" w:hAnsi="SimSun" w:eastAsia="SimSun"/>
        </w:rPr>
        <w:t>在信息爆炸、众声喧哗的当下，真理似乎触手可及，又仿佛遥不可及。我们依赖日益精密的语言和概念框架去解析世界，却也常常陷入定义之争与话语的迷宫中，离事物的本真渐行渐远。此刻，老子跨越两千五百年的箴言——“道可道，非常道；名可名，非常名”——如一道清冽的智慧之光，照见了我们认知结构深处的根本困境。老子的核心思辨张力，恰恰在于他挑战了人类对语言和概念的全能幻想，揭示了言说与真理之间永恒的、富有创造性的张力。他并非否定言说的价值，而是警告我们：将“可以言说的道”等同于“那永恒的道本身”，是认知上最大的僭越与遮蔽。真正的智慧，始于承认认知的边界，成于在“有言”的建构与“无言”的体悟之间保持动态的平衡。本文将循着老子的指引，探讨这种“在言默之间”的智慧如何照亮我们时代的认知与创造之路。</w:t>
      </w:r>
    </w:p>
    <w:p>
      <w:pPr>
        <w:pStyle w:val="Heading3"/>
      </w:pPr>
      <w:r>
        <w:rPr>
          <w:rFonts w:ascii="SimSun" w:hAnsi="SimSun" w:eastAsia="SimSun"/>
        </w:rPr>
        <w:t>母题一：言筌与彼岸：语言的赋能与限度</w:t>
      </w:r>
    </w:p>
    <w:p>
      <w:pPr>
        <w:ind w:firstLine="480"/>
      </w:pPr>
      <w:r>
        <w:rPr>
          <w:rFonts w:ascii="SimSun" w:hAnsi="SimSun" w:eastAsia="SimSun"/>
        </w:rPr>
        <w:t>当我们思考语言的本质时，常陷入非此即彼的评判：要么将其奉为文明的基石，要么斥其为真相的扭曲者。老子的“可道”与“常道”之辨，为我们提供了一条更具穿透力的中道。他揭示了语言的根本双重性：它既是不可或缺的认知“脚手架”，又是难以逾越的认知“天花板”。我们凭借“可道之道”——那些被言说、被定义的概念和理论——搭建起理解世界的框架，进行交流与思考。没有这个由“名相”构成的脚手架，哲学、科学乃至日常生活都将无从谈起。然而，危险在于，我们极易将这个方便使用的脚手架，误认为是建筑本身，即那整全、生动、变动不居的“常道”。当我们执着于概念的清晰与逻辑的自洽，并将其固化为绝对真理时，语言就从指向明月的手指，异化为遮蔽明月的手掌。我们看到了精妙的指法，却错过了月光本身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爆炸的时代，我们对信息的攫取和表述日益高效，这是否意味着我们离世界本真的“妙”（精微奥秘）更近了，还是更远？当一切皆可被数据化和模型化时，那不可被数据化的“道”，是否正从我们的认知视野中悄然退隐？</w:t>
      </w:r>
      <w:r>
        <w:rPr>
          <w:rFonts w:ascii="SimSun" w:hAnsi="SimSun" w:eastAsia="SimSun"/>
        </w:rPr>
        <w:t xml:space="preserve"> 更进一步，</w:t>
      </w:r>
      <w:r>
        <w:rPr>
          <w:rFonts w:ascii="SimSun" w:hAnsi="SimSun" w:eastAsia="SimSun"/>
          <w:b/>
        </w:rPr>
        <w:t>老子提示我们“常无欲以观其妙，常有欲以观其徼”。在具体的求知过程中，我们应如何判断，何时需要启动语言的精密分析去划定边界（观其徼），何时又必须让概念暂时“退场”，以一颗虚静无求的心去直观和体悟（观其妙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此，老子的智慧指引我们走向一种认知的“艺术”。真正的智慧不在于废弃语言，而在于掌握其运用的节奏与分寸。在需要厘清逻辑、达成共识、构建体系时，我们应充分发挥语言“观其徼”的功能，让思维清晰、交流有效。然而，当我们面对生命的意义、美的体验、道德的直觉或宇宙的终极奥秘时，就必须懂得“得意忘言”。这要求我们培养一种内心的“寂静感”，能够主动悬置先入为主的范畴，以开放和接纳的姿态，让实在本身向我们显现。正如核心思想卡所言，“真正的道在言默之间”。最高的认知，并非单纯的言说或沉默，而是一场在两者之间审慎穿行的动态舞蹈——用语言铺路，又时刻准备超越语言，以直观触摸那言说之外的丰盈。</w:t>
      </w:r>
    </w:p>
    <w:p>
      <w:pPr>
        <w:pStyle w:val="Heading3"/>
      </w:pPr>
      <w:r>
        <w:rPr>
          <w:rFonts w:ascii="SimSun" w:hAnsi="SimSun" w:eastAsia="SimSun"/>
        </w:rPr>
        <w:t>母题二：无名与有名：创造的源头与秩序的生发</w:t>
      </w:r>
    </w:p>
    <w:p>
      <w:pPr>
        <w:ind w:firstLine="480"/>
      </w:pPr>
      <w:r>
        <w:rPr>
          <w:rFonts w:ascii="SimSun" w:hAnsi="SimSun" w:eastAsia="SimSun"/>
        </w:rPr>
        <w:t>“无名天地之始，有名万物之母。”老子将我们的目光引向“无”与“有”的辩证交响，这不仅是宇宙生成论，更是深刻的认识论与创造论。“无名”所代表的，是未被概念切割、蕴含无限可能性的原初混沌，是创造力的真正源头。它空无一物，却孕化万有。“有名”则象征着人类认知与实践的主动性，是我们通过命名、定义、分类，从混沌中建立起秩序，从而让具体的事物、思想和文明得以诞生和传承的过程。破题的关键在于洞察：伟大的创造，往往并非始于对既有“名相”的熟练堆砌，而是源于对“无名”之境的深度潜入与敬畏。急于用现成的框架去套用一切，恰恰是创造力枯竭的开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审视人类文明的璀璨星河——科学上的范式革命、艺术上的风格开创、思想上的体系奠基——它们的原初火花，更多地是来自对未知深渊（“无名”）的勇敢凝视与全新命名，还是对已有知识体系（“有名”）的循规蹈矩与精雕细琢？</w:t>
      </w:r>
      <w:r>
        <w:rPr>
          <w:rFonts w:ascii="SimSun" w:hAnsi="SimSun" w:eastAsia="SimSun"/>
        </w:rPr>
        <w:t xml:space="preserve"> 同时，</w:t>
      </w:r>
      <w:r>
        <w:rPr>
          <w:rFonts w:ascii="SimSun" w:hAnsi="SimSun" w:eastAsia="SimSun"/>
          <w:b/>
        </w:rPr>
        <w:t>当我们成功地将一个模糊的灵感、一种新兴的现象清晰地定义和归类（使其“可名”）后，这固然赋予了它进入公共话语、参与知识生产的身份，但这是否也在无形中为其划定了发展的疆界，甚至扼杀了它未来走向其他形态的可能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深刻启示在于，最具生命力的创造与最富远见的认知，永远发生在“有名”的清晰海岸与“无名”的深邃海洋交界的地带。它要求创造者与思想者具备一种双重能力：一是“有名”的勇气与技艺，能够将洞察转化为可传播、可操作的体系与形式，即“万物之母”的生成能力；二是“无名”的智慧与谦卑，时刻清醒地意识到，任何既定的“名”都是权宜的、片面的，真正的源头活水永远在未被定义的寂静之中。因此，真正的“母体”不是某个固化的理论或风格，而是那种能自由穿梭于“有”与“无”之间的心灵状态——既能深入秩序的殿堂，又能回归混沌的怀抱，从而保持生生不息的创造活力。这正呼应了“玄之又玄，众妙之门”的奥义，那众妙涌现的门户，正在“有”“无”同出而异名的玄妙辩证之中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01.道可道，非常道。名可名，非常名。无名天地之始。有名万物之母。故常无欲以观其妙。常有欲以观其徼。此两者同出而异名，同谓之玄。玄之又玄，众妙之门。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