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相对的依存——在撕裂的世界中重建整体性视野</w:t>
      </w:r>
    </w:p>
    <w:p>
      <w:pPr>
        <w:ind w:firstLine="480"/>
      </w:pPr>
      <w:r>
        <w:rPr>
          <w:rFonts w:ascii="SimSun" w:hAnsi="SimSun" w:eastAsia="SimSun"/>
        </w:rPr>
        <w:t>在现代社会，信息洪流将我们裹挟进无数激烈的辩论场：美与丑的标准在网络空间激烈碰撞，善与恶的边界在公共事件中变得模糊难辨。我们似乎比任何时候都更热衷于定义、分类与评判，却也因此更深地陷入观点对立的泥潭与价值撕裂的焦虑。回望两千五百年前，老子在《道德经》中以一句石破天惊的“天下皆知美之为美，斯恶矣”道破了人类认知中这一深刻的悖论与困境。他的核心思辨张力正在于此：他挑战了我们依赖概念、标榜价值的思维惯性，揭示了</w:t>
      </w:r>
      <w:r>
        <w:rPr>
          <w:rFonts w:ascii="SimSun" w:hAnsi="SimSun" w:eastAsia="SimSun"/>
          <w:b/>
        </w:rPr>
        <w:t>认知在确立标准的同时，必然创造其对立面</w:t>
      </w:r>
      <w:r>
        <w:rPr>
          <w:rFonts w:ascii="SimSun" w:hAnsi="SimSun" w:eastAsia="SimSun"/>
        </w:rPr>
        <w:t>这一根本性吊诡。我们所珍视的理性、秩序与文明价值，其建构过程本身就内含了纷争与割裂的种子。老子并非否定认知与文明，而是指引我们超越非此即彼的二元框架，洞察万物“相生、相成、相形、相倾”的依存本质，从而寻求一种“处无为之事，行不言之教”的智慧，回归浑然天成的整体和谐。下文将依此核心思想，探索其如何照亮我们当下关于认知建构与生命平衡的母题思考。</w:t>
      </w:r>
    </w:p>
    <w:p>
      <w:pPr>
        <w:pStyle w:val="Heading3"/>
      </w:pPr>
      <w:r>
        <w:rPr>
          <w:rFonts w:ascii="SimSun" w:hAnsi="SimSun" w:eastAsia="SimSun"/>
        </w:rPr>
        <w:t>母题一：概念的利刃——理性工具的构建与认知的牢笼</w:t>
      </w:r>
    </w:p>
    <w:p>
      <w:pPr>
        <w:ind w:firstLine="480"/>
      </w:pPr>
      <w:r>
        <w:rPr>
          <w:rFonts w:ascii="SimSun" w:hAnsi="SimSun" w:eastAsia="SimSun"/>
        </w:rPr>
        <w:t>当我们为“美丽”制定标准，从时尚潮流到容貌焦虑便应运而生；当我们高悬“至善”的旗帜，对“不善”的排斥与讨伐就可能走向偏执。这便是老子洞见的起点：概念是一把双刃剑。从“有无”界定存在，到“难易”衡量过程，人类正是凭借这套精密的“概念坐标系”描摹世界、建立文明、传递知识。没有“美”的概念，艺术无以发展；没有“善”的范畴，伦理无以奠基。然而，破题的关键在于，当我们遗忘了这些概念仅是工具、是“地图”，而误将其当作“疆域”本身时，困境便产生了。执着于“美”的固定标准，我们便看不到“丑”中可能蕴含的独特生命力；固守“善”的单一尺度，我们便无法理解复杂人性中善恶交织的灰度。概念在完成其建构使命后，若不被审视，就会悄然转化为认知的牢笼，将流动、整体的真实存在切割成相互对峙的碎片，这正是“斯恶矣”、“斯不善已”的深刻警示。我们引以为傲的理性，在照亮世界的同时，也投下了固执的阴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当文明的前行必然伴随着概念的堆砌，这是否意味着人类的理性之旅，注定是一场不断为自己锻造新枷锁的西西弗斯式悲剧？</w:t>
      </w:r>
      <w:r>
        <w:rPr>
          <w:rFonts w:ascii="SimSun" w:hAnsi="SimSun" w:eastAsia="SimSun"/>
        </w:rPr>
        <w:t xml:space="preserve"> 我们能否在运用概念的同时，避免被概念所奴役？</w:t>
      </w:r>
      <w:r>
        <w:rPr>
          <w:rFonts w:ascii="SimSun" w:hAnsi="SimSun" w:eastAsia="SimSun"/>
          <w:b/>
        </w:rPr>
        <w:t>更进一步，当我们以“正义”之名征讨“不义”，以“进步”之由铲除“落后”，这种基于强烈分别心的行动，是在消除问题，还是在制造新的、更深的对立，最终背离了世界本然的和谐韵律？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立意进阶要求我们不做简单的概念废除论者，那无异于因噎废食。老子的智慧指向一种更高明的哲学姿态：</w:t>
      </w:r>
      <w:r>
        <w:rPr>
          <w:rFonts w:ascii="SimSun" w:hAnsi="SimSun" w:eastAsia="SimSun"/>
          <w:b/>
        </w:rPr>
        <w:t>运用概念而又超越概念</w:t>
      </w:r>
      <w:r>
        <w:rPr>
          <w:rFonts w:ascii="SimSun" w:hAnsi="SimSun" w:eastAsia="SimSun"/>
        </w:rPr>
        <w:t>。这要求我们培养一种“概念的清醒”，如同圣人“处无为之事”。“无为”非不为，而是不妄为，不固执于概念所规定的僵化目标与路径。在行动中，我们洞察“有无相生”的转化之道：今日之“成功”可能播下来日之“失败”的种子，此刻之“拥有”或许正阻碍着生命的流动。因此，真正的智慧在于“功成而弗居”。一旦居功，便将自我置于“有功/无功”、“美/丑”的对立框架中，瞬间从整体的参与者沦为局部的争夺者。我们应视概念为渡河之舟，上岸即舍，以整体的、流动的眼光参与世界，让行动本身成为与“道”协同的韵律，而非对某个孤立概念的执着证明。</w:t>
      </w:r>
    </w:p>
    <w:p>
      <w:pPr>
        <w:pStyle w:val="Heading3"/>
      </w:pPr>
      <w:r>
        <w:rPr>
          <w:rFonts w:ascii="SimSun" w:hAnsi="SimSun" w:eastAsia="SimSun"/>
        </w:rPr>
        <w:t>母题二：动态的平衡——在相对世界中寻求超越对立的智慧</w:t>
      </w:r>
    </w:p>
    <w:p>
      <w:pPr>
        <w:ind w:firstLine="480"/>
      </w:pPr>
      <w:r>
        <w:rPr>
          <w:rFonts w:ascii="SimSun" w:hAnsi="SimSun" w:eastAsia="SimSun"/>
        </w:rPr>
        <w:t>世界并非一幅由“美”与“丑”、“难”与“易”等静态板块拼凑而成的镶嵌画。老子紧接着描绘了一幅动态依存图景：“有无相生，难易相成，长短相形，高下相倾，音声相和，前后相随。”破题的核心，在于从关注孤立的“对立项”，转向理解连接它们的“关系”与“过程”。“有”从“无”中生出，也终将归于“无”；“难”因“易”而显，也可在过程中转化为“易”。我们生活中的困境，常常源于将这种动态平衡中的某一极视为永恒归宿并全力追逐——追求永远“有”、永远“易”、永远“前”。这种执着，本质上是在抗拒宇宙间最基本的流转法则。因此，在这个本质相对、相成的世界里，真正的智慧不是选择站在哪一边，而是如何在这种永恒的变动中，找到一种从容应对、不失根本的生存定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如果我们承认“前后相随”，成功的身后总跟随着失败的阴影，那么社会对“持续增长”、“永远胜利”的单向度崇拜，是否建立在一种违背自然律的幻觉之上？</w:t>
      </w:r>
      <w:r>
        <w:rPr>
          <w:rFonts w:ascii="SimSun" w:hAnsi="SimSun" w:eastAsia="SimSun"/>
        </w:rPr>
        <w:t xml:space="preserve"> 这种幻觉是否正是现代人普遍焦虑的深层根源？</w:t>
      </w:r>
      <w:r>
        <w:rPr>
          <w:rFonts w:ascii="SimSun" w:hAnsi="SimSun" w:eastAsia="SimSun"/>
          <w:b/>
        </w:rPr>
        <w:t>另一方面，如果万物皆相对而生、互为依存，个人的奋斗与价值创造是否就失去了意义？承认“相对”，是否必然滑向价值的虚无与行动的消极？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老子的智慧对此给出了充满力量的回应。超越对立，绝非抹平差别或倡导不作为，而是抵达一种深刻理解规律后的</w:t>
      </w:r>
      <w:r>
        <w:rPr>
          <w:rFonts w:ascii="SimSun" w:hAnsi="SimSun" w:eastAsia="SimSun"/>
          <w:b/>
        </w:rPr>
        <w:t>积极的动态平衡</w:t>
      </w:r>
      <w:r>
        <w:rPr>
          <w:rFonts w:ascii="SimSun" w:hAnsi="SimSun" w:eastAsia="SimSun"/>
        </w:rPr>
        <w:t>。这种智慧的核心是“为而不恃”。它首先肯定“为”的价值——“万物作焉而不辞”，鼓励如同天地化育万物般，真诚地投入创造与行动。关键在于“不恃”：不依赖、不居功、不将行动的“结果”（是有是无、是难是易）作为衡量自我价值的唯一标尺。这就将人从对“结果端”的执着中解放出来，转而安住于“过程”本身，与变化的韵律共舞。如此一来，人既能在世间积极作为，又能保持内心的超然与宁静。这便是一种在流动世界中安放“重心”的哲学，它使人明白，正因为不固执占据任何一端（“夫唯弗居”），其生命力与价值反而能超越具体的成败得失，获得一种真正的恒久与不可剥夺（“是以不去”）。这是一种根植于整体性的、最高形态的坚韧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02.天下皆知美之为美，斯恶矣；皆知善之为善，斯不善已。故有无相生，难易相成，长短相形，高下相倾，音声相和，前後相随。是以圣人处无为之事，行不言之教。万物作焉而不辞。生而不有，为而不恃，功成而弗居。夫唯弗居，是以不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