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静默的根系——无为之道在现代社会的回响与重塑</w:t>
      </w:r>
    </w:p>
    <w:p>
      <w:pPr>
        <w:ind w:firstLine="480"/>
      </w:pPr>
      <w:r>
        <w:rPr>
          <w:rFonts w:ascii="SimSun" w:hAnsi="SimSun" w:eastAsia="SimSun"/>
        </w:rPr>
        <w:t>在推崇效率至上、干预为能的社会图景中，老子的“无为而治”思想宛如一道逆流的清泉，提供了一种截然不同的治理智慧与生存哲学。其核心思辨张力在于，它大胆挑战了“积极作为方能解决问题”的现代性迷思，揭示了一个深刻的治理悖论：最高效、最根本的治理，恰恰可能源于对“强为”与“妄作”的主动克制。老子并非主张纯粹的消极懈怠，而是倡导一种通过“顺应自然”（道）来达成“无不治”的战略性“不为”。他提出“不尚贤”、“不贵难得之货”、“不见可欲”，旨在从源头上消解引发社会纷争与人心动荡的“名”、“利”、“欲”等外在诱因，使社会回归一种质朴、自足的和谐。然而，这种通过“虚其心”、“弱其志”来达成的稳定，也因其潜在地抑制人的精神追求与社会活力，而成为我们必须审慎思辨的焦点。本文将从三个具体母题切入，探讨“无为”思想在当代语境下的复杂意涵、内在张力及其可能的创造性转化。</w:t>
      </w:r>
    </w:p>
    <w:p>
      <w:pPr>
        <w:pStyle w:val="Heading3"/>
      </w:pPr>
      <w:r>
        <w:rPr>
          <w:rFonts w:ascii="SimSun" w:hAnsi="SimSun" w:eastAsia="SimSun"/>
        </w:rPr>
        <w:t>母题一：“无为”的边界：治理的终极关怀是满足需求，还是塑造人性？</w:t>
      </w:r>
    </w:p>
    <w:p>
      <w:pPr>
        <w:ind w:firstLine="480"/>
      </w:pPr>
      <w:r>
        <w:rPr>
          <w:rFonts w:ascii="SimSun" w:hAnsi="SimSun" w:eastAsia="SimSun"/>
        </w:rPr>
        <w:t>老子描绘的圣人之治蓝图，呈现出一种内在的张力：一方面，它极其务实，强调“实其腹”、“强其骨”，满足人民最基础的生存与健康需求；另一方面，它又极为“超脱”，主张“虚其心”、“弱其志”，试图淡化乃至消除人的精神世界与远大抱负。这一破题角度直指治理哲学的元问题：治理的终极目标，究竟是为人性的自由绽放创造安全、公平的条件，还是为了达成某种预设的（哪怕是和谐的）秩序，而有权对人性的复杂维度进行裁剪与定义？老子思想的深刻之处在于，它洞察到不受约束的“心”与“志”（智识炫耀、权力欲望、功利追逐）往往是社会冲突与痛苦的根源。因此，其“无为”策略的核心，是通过移除外部刺激，使人性回归一种未被污染的“自然”状态。然而，这种将人“简化”为只需满足基本生理需求的存在的设想，在现代社会看来，无异于将人工具化，剥夺了人之为人的超越性与创造性。</w:t>
      </w:r>
    </w:p>
    <w:p>
      <w:pPr>
        <w:ind w:firstLine="480"/>
      </w:pPr>
      <w:r>
        <w:rPr>
          <w:rFonts w:ascii="SimSun" w:hAnsi="SimSun" w:eastAsia="SimSun"/>
        </w:rPr>
      </w:r>
      <w:r>
        <w:rPr>
          <w:rFonts w:ascii="SimSun" w:hAnsi="SimSun" w:eastAsia="SimSun"/>
          <w:b/>
        </w:rPr>
        <w:t>一个旨在消除一切竞争、欲望和智识炫耀的社会，真的能抵达持久的和谐，还是将不可避免地陷入停滞与精神的贫瘠？当治理者以“为你好”的姿态，主动削弱民众的“心”与“志”，这究竟是一种智慧的保护，还是一种柔性的专制？</w:t>
      </w:r>
      <w:r>
        <w:rPr>
          <w:rFonts w:ascii="SimSun" w:hAnsi="SimSun" w:eastAsia="SimSun"/>
        </w:rPr>
      </w:r>
    </w:p>
    <w:p>
      <w:pPr>
        <w:ind w:firstLine="480"/>
      </w:pPr>
      <w:r>
        <w:rPr>
          <w:rFonts w:ascii="SimSun" w:hAnsi="SimSun" w:eastAsia="SimSun"/>
        </w:rPr>
        <w:t>立意进阶要求我们超越非此即彼的二元对立。老子的警示提醒我们，那种试图通过强力塑造“新人”、灌输单一价值观的“有为”治理，往往适得其反，催生虚伪与反抗。真正的“善治”，或许正是老子“无为”精神的现代转译：其艺术在于进行“最小必要干预”。这意味着，治理的“有为”应严格限定在“实其腹、强其骨”的范畴——即通过制度刚性保障所有人的生存权、健康权与发展起点公平，为每个生命的成长夯实物质与权利基础。在此基础之上，治理的“无为”则应体现为对思想、志趣与价值选择领域的最大程度尊重与退守。政府不必也不能定义什么是“好”的人生，而应致力于清除阻碍个体自由探索的制度障碍与文化偏见，创造一个多元、宽容的“生态位”。如此，“虚其心”便不再是灌输空无，而是破除偏执与成见；“弱其志”也不再是打击抱负，而是引导志趣脱离单一功利轨道，投向更广阔、更内在的生命实现。这便是“有为之无为”，它守护的是人性自然生发的土壤，而非预设人性的形状。</w:t>
      </w:r>
    </w:p>
    <w:p>
      <w:pPr>
        <w:pStyle w:val="Heading3"/>
      </w:pPr>
      <w:r>
        <w:rPr>
          <w:rFonts w:ascii="SimSun" w:hAnsi="SimSun" w:eastAsia="SimSun"/>
        </w:rPr>
        <w:t>母题二：“尚贤”之辩：精英引领与平等乌托邦的永恒张力</w:t>
      </w:r>
    </w:p>
    <w:p>
      <w:pPr>
        <w:ind w:firstLine="480"/>
      </w:pPr>
      <w:r>
        <w:rPr>
          <w:rFonts w:ascii="SimSun" w:hAnsi="SimSun" w:eastAsia="SimSun"/>
        </w:rPr>
        <w:t>“不尚贤，使民不争”是老子思想中最具颠覆性的命题之一。它尖锐地指出，公开推崇贤能（“尚贤”）这一看似促进社会进步的行为，可能异化为制造等级、激发虚荣心与恶性竞争的源头。人们为了争夺“贤”的名号，可能不惜伪装、倾轧，反而远离了真正的智慧与德行。这一破题角度迫使我们反思表彰与激励机制的阴暗面：当“榜样”成为稀缺符号，追逐过程是否会扭曲初衷？然而，完全放弃对卓越、智慧与美德的公开认可与追寻，社会是否会失去向上的灯塔与动力，陷入“智者不敢为”的平庸化陷阱？老子的理想国似乎是一个去除了比较与标杆的“平等乌托邦”，但这与文明演进中借由杰出个体的突破来拉动整体进步的常见模式形成了尖锐冲突。</w:t>
      </w:r>
    </w:p>
    <w:p>
      <w:pPr>
        <w:ind w:firstLine="480"/>
      </w:pPr>
      <w:r>
        <w:rPr>
          <w:rFonts w:ascii="SimSun" w:hAnsi="SimSun" w:eastAsia="SimSun"/>
        </w:rPr>
      </w:r>
      <w:r>
        <w:rPr>
          <w:rFonts w:ascii="SimSun" w:hAnsi="SimSun" w:eastAsia="SimSun"/>
          <w:b/>
        </w:rPr>
        <w:t>我们摒弃的，是“贤能”本身，还是“尚贤”过程中产生的异化与不公？是否存在一种方式，既能汲取智者的光芒推动社会，又能避免大众陷入盲目的崇拜与内卷？如果“使夫智者不敢为”，那么社会的航船将由谁来掌舵？是依赖自然演进的无为秩序，还是可能滑向另一种由平庸或隐蔽权力主导的失控？</w:t>
      </w:r>
      <w:r>
        <w:rPr>
          <w:rFonts w:ascii="SimSun" w:hAnsi="SimSun" w:eastAsia="SimSun"/>
        </w:rPr>
      </w:r>
    </w:p>
    <w:p>
      <w:pPr>
        <w:ind w:firstLine="480"/>
      </w:pPr>
      <w:r>
        <w:rPr>
          <w:rFonts w:ascii="SimSun" w:hAnsi="SimSun" w:eastAsia="SimSun"/>
        </w:rPr>
        <w:t>立意进阶指引我们探寻一条中道。老子的批判矛头，并非指向贤能个体本身，而是指向那种将“贤能”单一化、等级化、并与过度世俗利益捆绑的“尚”的机制。现代社会的出路不在于“不尚贤”，而在于“如何尚贤”。我们应致力于构建一个“去伪存真”的智识与道德生态。这意味着，首先，拓宽“贤”的定义，使其包容知识、勇气、仁爱、匠心等多元卓越，而不仅仅是权力与财富的成功。其次，将社会激励的重点从对个人“标签”的崇拜，转向对智慧成果与德行实践本身所带来的公共福祉的欣赏与利用。例如，通过开放共享的知识平台、公平的成果转化机制，让天才的发现惠及大众，而非仅仅为其个人加冕。最后，营造一种“见贤思齐”而非“争当人上人”的文化氛围，将对他人的欣赏转化为自我内在成长的动力，而非零和博弈的焦虑。如此，“智者”之“为”便能自然地融入社会肌体，推动进步，而无需引发无谓的“争”。这便是在尊重差异与追求平等间实现的动态平衡，是对老子“不敢为”警告的一种建设性超越。</w:t>
      </w:r>
    </w:p>
    <w:p>
      <w:pPr>
        <w:pStyle w:val="Heading3"/>
      </w:pPr>
      <w:r>
        <w:rPr>
          <w:rFonts w:ascii="SimSun" w:hAnsi="SimSun" w:eastAsia="SimSun"/>
        </w:rPr>
        <w:t>母题三：“为无为”的行动哲学：最高级的作为，是否正在于对“作为”的主动克制？</w:t>
      </w:r>
    </w:p>
    <w:p>
      <w:pPr>
        <w:ind w:firstLine="480"/>
      </w:pPr>
      <w:r>
        <w:rPr>
          <w:rFonts w:ascii="SimSun" w:hAnsi="SimSun" w:eastAsia="SimSun"/>
        </w:rPr>
        <w:t>“为无为”这个充满辩证意味的短语，将老子的思想从具体的治理策略，提升为一种普遍的行动哲学。它揭示了一种深刻的行动智慧：在特定情境下，最具效力、最负责任的“作为”，恰恰体现为一种深思熟虑后的“不作为”——即对规律（道）的敬畏与遵循，对“妄为”冲动的主动克制。在一个崇尚“执行力”、“快速迭代”、“人定胜天”的时代，这种哲学提供了一剂清凉的反思剂。破题的关键在于重新校准我们对“行动力”的认知：那种不经省察的、以自我意志为中心的“强力作为”，在复杂的自然与社会系统面前，很可能是一种幼稚的僭越与破坏。而“为无为”，则要求行动者具备系统思维、长远眼光与高度的敬畏心。</w:t>
      </w:r>
    </w:p>
    <w:p>
      <w:pPr>
        <w:ind w:firstLine="480"/>
      </w:pPr>
      <w:r>
        <w:rPr>
          <w:rFonts w:ascii="SimSun" w:hAnsi="SimSun" w:eastAsia="SimSun"/>
        </w:rPr>
      </w:r>
      <w:r>
        <w:rPr>
          <w:rFonts w:ascii="SimSun" w:hAnsi="SimSun" w:eastAsia="SimSun"/>
          <w:b/>
        </w:rPr>
        <w:t>面对复杂系统（如生态、社会、人心），当我们无法精确预测干预的长期连锁反应时，基于敬畏的“无为”是否比基于自信的“有为”更负责任？在个人层面，面对内卷的洪流与无尽的欲望，选择“弱其志”、“虚其心”式的内敛与简化，是一种消极的退避，还是一种主动的精神突围与生命节律的重塑？</w:t>
      </w:r>
      <w:r>
        <w:rPr>
          <w:rFonts w:ascii="SimSun" w:hAnsi="SimSun" w:eastAsia="SimSun"/>
        </w:rPr>
      </w:r>
    </w:p>
    <w:p>
      <w:pPr>
        <w:ind w:firstLine="480"/>
      </w:pPr>
      <w:r>
        <w:rPr>
          <w:rFonts w:ascii="SimSun" w:hAnsi="SimSun" w:eastAsia="SimSun"/>
        </w:rPr>
        <w:t>立意进阶要求我们将“为无为”理解为一种“根系智慧”。真正的园丁不会每天将植物拔起查看生长情况，而是悉心照料土壤、阳光和水分这些根本条件。同理，最高级的“作为”，往往不是直接作用于现象层面的强力操控，而是深入系统底层，为其健康、可持续的自主运行创造条件、扫除障碍。在当代语境下，这意味着：在科技狂飙时，社会需要设立伦理审查与风险评估的“暂停键”，这是一种对技术滥用的“无为”（不妄为）；在经济发展中，坚守生态红线，不为短期GDP而牺牲环境承载力，这是一种对自然规律的“无为”（不逆为）；在个人生活中，主动为心灵留白，抵制信息过载与消费主义诱惑，回归内在的平静与充实，这正是对生命本真状态的追寻，是老子“虚其心”在现代人精神世界的积极实践。这种以战略性的“不做”来守护更宏大、更持久之“生”的智慧，完美诠释了“大巧若拙，大辩若讷”的境界。最终，“为无为，则无不治”的金句启示我们，无论是治理社会还是经营人生，最大的成功或许就在于，我们是否有足够的智慧去识别并坚守那个“不应作为”的边界，从而让万物（包括我们自己）得以循其道，自然而然地蓬勃生长。</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03.不尚贤， 使民不争。不贵难得之货，使民不为盗。不见可欲，使民心不乱。是以圣人之治，虚其心，实其腹，弱其志，强其骨；常使民无知、无欲，使夫智者不敢为也。为无为，则无不治。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