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虚而不屈：在干预与放任之间寻求“合道”之路</w:t>
      </w:r>
    </w:p>
    <w:p>
      <w:pPr>
        <w:ind w:firstLine="480"/>
      </w:pPr>
      <w:r>
        <w:rPr>
          <w:rFonts w:ascii="SimSun" w:hAnsi="SimSun" w:eastAsia="SimSun"/>
        </w:rPr>
        <w:t>现代社会常陷入一种普遍的焦虑：面对复杂问题，我们是应该积极干预、施加影响，还是顺应趋势、静观其变？个人奋斗与社会规划，在过度“有为”与消极“无力”的两极间摇摆。老子于两千五百年前提出的思想，正为这一困境提供了深刻的哲学镜鉴。其核心思辨张力在于，他彻底挑战了人类根深蒂固的“意义赋予者”与“救世主”冲动，揭示了“天地不仁”背后冷酷的公正法则，并以此为基础，提出了一种看似悖论的生活与治理智慧。老子并非主张冷漠，而是通过“不仁”与“无为”的概念，逼迫我们反思：那些基于主观好恶、充满道德激情的干预，是否往往构成了对事物自然本性与发展节奏的干扰与破坏？真正的智慧与仁爱，或许不在于“多言数穷”的强行作为，而在于“守中”的洞察与顺应。本文将循此思辨路径，探讨老子的核心思想如何照亮现代社会的两个关键母题。</w:t>
      </w:r>
    </w:p>
    <w:p>
      <w:pPr>
        <w:pStyle w:val="Heading3"/>
      </w:pPr>
      <w:r>
        <w:rPr>
          <w:rFonts w:ascii="SimSun" w:hAnsi="SimSun" w:eastAsia="SimSun"/>
        </w:rPr>
        <w:t>母题一：客观法则与人文价值的永恒张力</w:t>
      </w:r>
    </w:p>
    <w:p>
      <w:pPr>
        <w:ind w:firstLine="480"/>
      </w:pPr>
      <w:r>
        <w:rPr>
          <w:rFonts w:ascii="SimSun" w:hAnsi="SimSun" w:eastAsia="SimSun"/>
        </w:rPr>
        <w:t>破题的关键在于直面“圣人不仁，以百姓为刍狗”这一令人不安的论断。它并非鼓吹统治者的冷酷，而是揭示了一种超越个体情感的、近乎宇宙尺度的公正观。天地运行，春生秋杀，并无偏爱，万物在其中自然生灭。圣人效法此道，意味着摒弃基于个人情感、阶层利益或狭隘道德的偏私干预，以“道”的客观视角看待社会与百姓。这便与儒家所倡导的“仁者爱人”、西方启蒙运动以来的“人权”与“博爱”等深厚的人文价值传统，形成了根本性的哲学对峙。现代社会，我们既渴望一个按客观规律（如市场规律、科学定律）高效运转的体系，又无法割舍对公平、关怀、温情等主观价值的追求。当经济调整导致部分群体暂时困难时，完全放任的“不干预”是否道德？老子的思想迫使我们追问：我们通常所理解的“仁爱”与“责任”，是否本身就可能是一种包裹着善意外衣的“妄为”，它源自我们无法忍受事物自然进程中的阵痛，而急于施加影响以安抚自身的焦虑？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“天地不仁”的客观法则应用于人类社会时，对个体苦难的“不干预”是否必然等同于道德上的“冷漠无情”？我们如何在遵循客观规律（“道”）的同时，又不丧失人之为人的同情心与责任感，即如何在“法则”中安放“仁爱”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立意进阶在于认识到，老子所挑战的，恰恰是对“仁爱”的肤浅理解。真正的、更高阶的人文关怀，并非表现为即时性的、情绪化的施舍与拯救，而是对生命本身内在力量与自然轨迹的深刻敬畏与信任。圣人的“不仁”，是为了避免因一己之“仁”（实为偏私）而破坏整体自然生发的生态，这是一种更宏大、更根本的“大仁”。正如医生治病，最高明者并非头痛医头、脚痛医脚，而是调理整体气血，恢复身体自愈的机能。因此，将人文价值与客观法则对立是一种误解。</w:t>
      </w:r>
      <w:r>
        <w:rPr>
          <w:rFonts w:ascii="SimSun" w:hAnsi="SimSun" w:eastAsia="SimSun"/>
          <w:b/>
        </w:rPr>
        <w:t>“天地不仁，以万物为刍狗”</w:t>
      </w:r>
      <w:r>
        <w:rPr>
          <w:rFonts w:ascii="SimSun" w:hAnsi="SimSun" w:eastAsia="SimSun"/>
        </w:rPr>
        <w:t xml:space="preserve"> 所启示的，是要求我们的“仁爱”实践必须建立在对客观法则（社会规律、心理规律、经济规律）的深刻洞察之上。它不是要我们泯灭同情心，而是要将同情心升华为一种“以道心行人事”的智慧——即带着温情去观察、去理解、去创造能促进事物“自化”的条件，而非带着救世主情结去强行扭转与替代。这便是在“守中”的智慧下，让法则为价值提供坚实的底盘，让价值为法则赋予人性的温度，实现两者的辩证统一。</w:t>
      </w:r>
    </w:p>
    <w:p>
      <w:pPr>
        <w:pStyle w:val="Heading3"/>
      </w:pPr>
      <w:r>
        <w:rPr>
          <w:rFonts w:ascii="SimSun" w:hAnsi="SimSun" w:eastAsia="SimSun"/>
        </w:rPr>
        <w:t>母题二：“无为”之静与“无不为”之动的实践智慧</w:t>
      </w:r>
    </w:p>
    <w:p>
      <w:pPr>
        <w:ind w:firstLine="480"/>
      </w:pPr>
      <w:r>
        <w:rPr>
          <w:rFonts w:ascii="SimSun" w:hAnsi="SimSun" w:eastAsia="SimSun"/>
        </w:rPr>
        <w:t>本母题需破解对“无为”的最大误读——消极避世、无所作为。老子以“橐籥”（风箱）为喻：“虚而不屈，动而愈出。”风箱的中空（虚）状态，恰恰是其能够持续鼓风（动）的前提。这正是“无为”的精髓：它不是空无所有，而是一种摒除了主观臆断、成见与躁进情绪的“创造性虚空”状态。这种状态蓄势待发，蕴含着无穷的生机与可能性。在现代语境下，“无为”所批判的，正是那种在焦虑驱动下的“盲目有为”或“内卷”——大量消耗资源与心神，却方向错误或事倍功半的行动。无论是个人陷入无限自我提升的焦虑而忽略身心平衡，还是社会组织不断推出繁琐政策却收效甚微，都可被视为“多言数穷”的现代写照。破题的核心在于，将“无为”理解为一种战略性的“静”与“清空”，是为更高质、更符合规律的“动”清扫场地、储备能量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崇尚积极进取、强调人为奋斗的时代，“无为”的智慧是过时的保守，还是对盲目行动的一种必要矫正？“守中”作为一种实践原则，如何界定“必要的干预”与“多余的妄为”之间的界限，从而在复杂现实中实现“无为而无不为”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立意进阶要求我们跳出“静”与“动”的二元对立，看到“无为而无不为”是一个连贯的、动态的智慧流程。“无为”是“无不为”的奠基与核心。其关键在于识别并“止”住“妄为”。何谓妄为？即那些违背事物本性（道）、消耗本源生命力、仅凭主观意志强推的行动。例如，违背孩子天性的“鸡娃”教育，违背市场规律的行政指令，违背生态系统自我修复能力的人工过度改造。而“守中”的“中”，便是那个“虚而不屈”的平衡点与发源地，它要求行动者保持内心的澄明与开放，不被纷繁的意见（“多言”）所困，从而能敏锐地感知何时应“动”，何时应“止”。因此，真正的进取与奋斗，应像风箱鼓风一般，每一次推动都建立在虚空蓄力的基础上，顺应机械结构本身的规律，从而高效且可持续地“愈出”。个人的成长，在于找到自己的节奏与天赋所在，而非随波逐流地盲目努力；社会治理的智慧，在于制定简单的、符合人性的规则框架，然后让社会活力在其中自然涌现，而非事无巨细的 micromanagement。这便是老子赐予我们的、在纷繁行动中保持根本生机的动态平衡之术。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《道德经》 (老子) : 05.天地不仁，以万物为刍狗。圣人不仁，以百姓为刍狗。天地之间，其犹橐迭乎？虚而不屈，动而愈出。多言数穷，不如守中。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