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从心所欲不逾矩：在干预时代重思无为的智慧</w:t>
      </w:r>
    </w:p>
    <w:p>
      <w:pPr>
        <w:ind w:firstLine="480"/>
      </w:pPr>
      <w:r>
        <w:rPr>
          <w:rFonts w:ascii="SimSun" w:hAnsi="SimSun" w:eastAsia="SimSun"/>
        </w:rPr>
        <w:t>在崇尚规划、追求效率的现代社会，人们总是坚信“有为”方能成就，“掌控”才能心安。从个人生活的时间管理到国家层面的宏大叙事，一种深刻的“设计思维”与“干预冲动”渗透于方方面面。然而，两千多年前的思想家老子，却以一连串沉静而有力的反问，对这股“有为”的洪流提出了根本性质疑。他的核心思辨张力在于，揭示了人类行为中一个深刻的悖论：</w:t>
      </w:r>
      <w:r>
        <w:rPr>
          <w:rFonts w:ascii="SimSun" w:hAnsi="SimSun" w:eastAsia="SimSun"/>
          <w:b/>
        </w:rPr>
        <w:t>我们越是刻意地追求某种理想状态（无论是内心的平和还是社会的治理），越是可能因为这种“刻意”本身而南辕北辙，背离“自然”这一终极法则。</w:t>
      </w:r>
      <w:r>
        <w:rPr>
          <w:rFonts w:ascii="SimSun" w:hAnsi="SimSun" w:eastAsia="SimSun"/>
        </w:rPr>
        <w:t xml:space="preserve"> 通过“载营魄抱一”、“专气致柔”、“涤除玄览”等内在修养功夫，老子追问的是：我们能否让身心回归婴儿般的纯净、让行动如天道般自然流淌？最终，这种内在的合一与柔顺，能否自然地导向“爱国治民”时的“无为”？老子的思想并非提供一套消极避世的方案，而是为陷入“过度有为”困境的现代心灵与社会，提供了一面澄澈的镜子。下文将从个人心性与社会治理两个维度，探寻这份古老智慧如何照亮当代生活的迷思。</w:t>
      </w:r>
    </w:p>
    <w:p>
      <w:pPr>
        <w:pStyle w:val="Heading3"/>
      </w:pPr>
      <w:r>
        <w:rPr>
          <w:rFonts w:ascii="SimSun" w:hAnsi="SimSun" w:eastAsia="SimSun"/>
        </w:rPr>
        <w:t>母题一：自然心性与刻意追求</w:t>
      </w:r>
    </w:p>
    <w:p>
      <w:pPr>
        <w:ind w:firstLine="480"/>
      </w:pPr>
      <w:r>
        <w:rPr>
          <w:rFonts w:ascii="SimSun" w:hAnsi="SimSun" w:eastAsia="SimSun"/>
        </w:rPr>
        <w:t>老子以“专气致柔，能如婴儿乎？”的反问，将我们引向一个看似简单却无比深邃的命题：何谓真正的“自然”？当代社会，“松弛感”、“钝感力”、“做自己”成为备受追捧的生活理想，仿佛在紧张的竞争之外，存在一个可以抵达的、名为“本真”的宁静彼岸。老子的破题角度正在于戳破这一幻象。他揭示的悖论在于：</w:t>
      </w:r>
      <w:r>
        <w:rPr>
          <w:rFonts w:ascii="SimSun" w:hAnsi="SimSun" w:eastAsia="SimSun"/>
          <w:b/>
        </w:rPr>
        <w:t>一旦“自然”或“本真”成为一个被清晰意识、并被刻意追求的目标，它便已异化为一种新的“不自然”，一种更精巧的人为造作。</w:t>
      </w:r>
      <w:r>
        <w:rPr>
          <w:rFonts w:ascii="SimSun" w:hAnsi="SimSun" w:eastAsia="SimSun"/>
        </w:rPr>
        <w:t xml:space="preserve"> 如同一个失眠者越是命令自己“放松”，神经越是紧绷；一个演讲者越是告诫自己“别紧张”，心跳越是加速。我们对“理想状态”的过度构想与执着设计，恰恰成为阻隔我们抵达它的最大障碍。因此，老子所言的“婴儿”状态，并非指幼稚无知，而是象征着一种前意识、无目的的纯粹存在，其柔和与纯净是不经设计、自然流露的结果。现代人的困境，往往不在于缺乏对“自然”的向往，而在于将这种向往变成了一种新的焦虑源和表演脚本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当“做自己”成为一种社会口号时，我们是否只是在表演一种被规训过的“本真”形象？</w:t>
      </w:r>
      <w:r>
        <w:rPr>
          <w:rFonts w:ascii="SimSun" w:hAnsi="SimSun" w:eastAsia="SimSun"/>
        </w:rPr>
        <w:t xml:space="preserve"> 社交媒体上精心营造的“松弛感”穿搭与生活分享，职场中刻意练习的“钝感力”话术，这些本为对抗压力而生的概念，是否已演变为一套新的行为规范，让人们陷入另一种必须达标的“刻意”竞赛？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在必须进取的现实中，效法“婴儿”的无争与柔弱，是否具有实践智慧，还是一种鸵鸟策略？</w:t>
      </w:r>
      <w:r>
        <w:rPr>
          <w:rFonts w:ascii="SimSun" w:hAnsi="SimSun" w:eastAsia="SimSun"/>
        </w:rPr>
        <w:t xml:space="preserve"> 这触及了老子思想最易被误解的部分。若将“婴儿”的柔弱等同于放弃所有能动性，则无疑是对现实的逃避。但老子的深意在于，“柔弱”是内在“专气致柔”后呈现的外在状态，是如水般的适应性、韧性与穿透力，而非简单的软弱无能。</w:t>
      </w:r>
    </w:p>
    <w:p>
      <w:pPr>
        <w:ind w:firstLine="480"/>
      </w:pPr>
      <w:r>
        <w:rPr>
          <w:rFonts w:ascii="SimSun" w:hAnsi="SimSun" w:eastAsia="SimSun"/>
        </w:rPr>
        <w:t>真正的“自然心性”，并非一个静态的、可供占有的目的地。它不是通过对抗“刻意”来实现，因为“对抗”本身已是另一种刻意。立意进阶在于领悟到：自然是一种动态的“不刻意”的过程，是消解了“我要追求自然”这一主体执念后的自发呈现。如同呼吸，健康时我们从不思考如何呼吸；只有当它出现问题时，我们才会开始刻意调节。真正的修养，便是通过“涤除玄览”——不断清除心灵的杂质与固着观念——让生命活动逐渐恢复到如呼吸般自然而然的节奏。它要求我们在行动中保持觉察，却不被“要达到某种状态”的念头所捆绑，最终达到孔子所言的“从心所欲不逾矩”之境，即内心的每一念发动都自然地合乎天道伦常，无需强制的规范与刻意的矫饰。</w:t>
      </w:r>
    </w:p>
    <w:p>
      <w:pPr>
        <w:pStyle w:val="Heading3"/>
      </w:pPr>
      <w:r>
        <w:rPr>
          <w:rFonts w:ascii="SimSun" w:hAnsi="SimSun" w:eastAsia="SimSun"/>
        </w:rPr>
        <w:t>母题二：无为治理与主动作为</w:t>
      </w:r>
    </w:p>
    <w:p>
      <w:pPr>
        <w:ind w:firstLine="480"/>
      </w:pPr>
      <w:r>
        <w:rPr>
          <w:rFonts w:ascii="SimSun" w:hAnsi="SimSun" w:eastAsia="SimSun"/>
        </w:rPr>
        <w:t>从个人心性的修养，老子自然而然地过渡到“爱国治民，能无为乎？”这一终极叩问。这直接将“无为”理念置于现代社会治理的聚光灯下。我们生活的时代，治理通常与积极的政策干预、精准的社会工程、明确的发展蓝图紧密相连。“有为才有位”是普遍的信念，似乎更强的控制力必然带来更优的秩序。老子提出的“无为”，正是对这一深层信念的根本性挑战。其破题角度在于澄清：“无为”绝非消极的不作为或放任自流，而是指</w:t>
      </w:r>
      <w:r>
        <w:rPr>
          <w:rFonts w:ascii="SimSun" w:hAnsi="SimSun" w:eastAsia="SimSun"/>
          <w:b/>
        </w:rPr>
        <w:t>不妄为、不强为，即治理者的行为应根植于深刻的自我洞察与净化（涤除玄览），从而能够完全顺应万民的本性与社会发展的内在规律，而非强加个人或集团的意志</w:t>
      </w:r>
      <w:r>
        <w:rPr>
          <w:rFonts w:ascii="SimSun" w:hAnsi="SimSun" w:eastAsia="SimSun"/>
        </w:rPr>
        <w:t>。这要求治理者首先完成“治身”与“治心”的内在功课（抱一、致柔），超越私欲与成见的干扰，如此方能像镜子一样清明地映照现实，像水一样顺应地势而行。因此，“无为”是一种极高明、因而也极难企及的“积极作为”，其有效性建立在对“道”（规律）的深刻体认与遵循之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面对教育内卷、环境危机等复杂系统性问题，强调“让万物自化”的“无为”，是洞见还是托词？</w:t>
      </w:r>
      <w:r>
        <w:rPr>
          <w:rFonts w:ascii="SimSun" w:hAnsi="SimSun" w:eastAsia="SimSun"/>
        </w:rPr>
        <w:t xml:space="preserve"> 这直指“无为”应用的边界与条件。若将“无为”简单理解为撤除所有干预，在面对市场失灵、公地悲剧等情境时，无异于逃避责任。但老子的智慧提示我们，许多问题恰恰源于前期“过度有为”的干预（如扭曲的激励政策、违背规律的行政命令），而“无为”可能是停止制造新问题、为系统自我修复留出空间的必要前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在追求社会公平、推动技术向善等积极价值目标时，“不干预”原则如何与之协调？</w:t>
      </w:r>
      <w:r>
        <w:rPr>
          <w:rFonts w:ascii="SimSun" w:hAnsi="SimSun" w:eastAsia="SimSun"/>
        </w:rPr>
        <w:t xml:space="preserve"> 这触及了目的与手段的辩证关系。老子的启示在于，正义的目标若通过违背自然人性与规律的手段（如粗暴的强制、一刀切的管制）去追求，往往事与愿违，甚至衍生更大的不公。真正的“无为而治”，是在确立符合“道”的基本规则框架（如保障基本权利、维护法治）后，充分尊重社会各主体的自发创造力与协作能力，其效果可能远比事无巨细的规划更为深远和稳固。</w:t>
      </w:r>
    </w:p>
    <w:p>
      <w:pPr>
        <w:ind w:firstLine="480"/>
      </w:pPr>
      <w:r>
        <w:rPr>
          <w:rFonts w:ascii="SimSun" w:hAnsi="SimSun" w:eastAsia="SimSun"/>
        </w:rPr>
        <w:t>因此，“无为”的终极立意，绝非倡导虚无，而是指向一种最高效、最根本的“善为”。它要求治理者拥有巨大的智慧与谦逊，以完成内在修养为前提，从而能精准地区分“可为”与“不可为”的界限。在多数时候，它体现为“我无事而民自富，我无欲而民自朴”的赋能与信任，提供阳光雨露般的良好环境，让社会的活力如草木般自然生长；在关键时刻，又能基于对规律的深刻把握，实施“四两拨千斤”的精准干预，如大禹治水，重在疏导而非堵塞。这种“以不治为治”的智慧，是对“爱国治民”最深刻、最积极的担当——它追求的并非治理者个人意志的彰显，而是整体生态的和谐与生生不息。正如金句“爱国治民，能无为乎？”所不断叩问的：我们是否有足够的智慧和境界，克制住“有为”的冲动，让真正的秩序自然涌现？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10.载营魄抱一，能无离乎？专气致柔，能如婴儿乎？涤除玄览，能无疵乎？爱国治民，能无为乎？天门开阖，能为雌乎？明白四达，能无知乎。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