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SimSun" w:hAnsi="SimSun" w:eastAsia="SimSun"/>
        </w:rPr>
        <w:t>内在的锚点：喧嚣时代的定力哲学</w:t>
      </w:r>
    </w:p>
    <w:p>
      <w:pPr>
        <w:ind w:firstLine="480"/>
      </w:pPr>
      <w:r>
        <w:rPr>
          <w:rFonts w:ascii="SimSun" w:hAnsi="SimSun" w:eastAsia="SimSun"/>
        </w:rPr>
        <w:t>在信息如海啸、欲望被精准喂养的今天，我们似乎站在了感官盛宴的顶峰。然而，前所未有的丰裕并未带来内心的安宁，反而催生了更深的焦虑与迷失。早在两千多年前，老子以极具穿透力的洞见，刺破了繁华表象下的生存困境。他的思辨张力在于，以反直觉的方式挑战了“更多即更好”的进步迷思，揭示了一个深刻的悖论：</w:t>
      </w:r>
      <w:r>
        <w:rPr>
          <w:rFonts w:ascii="SimSun" w:hAnsi="SimSun" w:eastAsia="SimSun"/>
          <w:b/>
        </w:rPr>
        <w:t>对感官满足的极致追逐，非但不能抵达富足，反而会掏空人的内在，导致“目盲”、“心发狂”。</w:t>
      </w:r>
      <w:r>
        <w:rPr>
          <w:rFonts w:ascii="SimSun" w:hAnsi="SimSun" w:eastAsia="SimSun"/>
        </w:rPr>
        <w:t xml:space="preserve"> 老子并非简单地否定感官体验，而是敏锐地指出了“为腹”（满足根本生命需求）与“为目”（追逐外在感官刺激）之间的根本差异，并主张“去彼取此”，回归简朴与本真，以守护心灵的清晰与定力。这一思想如同一剂清醒剂，为我们理解当代喧嚣，并在其中安顿自我，提供了根本性的哲学透镜。</w:t>
      </w:r>
    </w:p>
    <w:p>
      <w:pPr>
        <w:pStyle w:val="Heading3"/>
      </w:pPr>
      <w:r>
        <w:rPr>
          <w:rFonts w:ascii="SimSun" w:hAnsi="SimSun" w:eastAsia="SimSun"/>
        </w:rPr>
        <w:t>母题一：时代喧嚣中的精神定力</w:t>
      </w:r>
    </w:p>
    <w:p>
      <w:pPr>
        <w:ind w:firstLine="480"/>
      </w:pPr>
      <w:r>
        <w:rPr>
          <w:rFonts w:ascii="SimSun" w:hAnsi="SimSun" w:eastAsia="SimSun"/>
        </w:rPr>
        <w:t>将老子的警告置于今日语境，我们面对的“五色”“五音”已化为24小时不间断的社交媒体流、算法精心编排的短视频、以及消费主义营造的无穷符号景观。现代人看似掌握着选择权，却在无形中被这套精密的感官刺激系统所捕获，注意力成为被争抢的资源，心智陷入老子所言的“驰骋畋猎令人心发狂”的现代版本——在无穷尽的刷屏、比较与即时满足中，我们变得浮躁、焦虑，逐渐丧失了深度思考与感受真实生命的能力。破题的关键在于认识到，真正的困境不是选择的匮乏，而是选择的过载导致了“内在感官”的麻痹。我们被“为目”之欲淹没，却遗忘了辨别何为真正滋养生命的“为腹”之需。保持定力，因此首先意味着在信息的洪流中，重建对自我真实需求的判断力与守护力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在一个人人被数据与算法“喂养”感官的时代，我们如何分辨哪些是滋养身心的“为腹”之需，哪些是令人迷失的“为目”之欲？</w:t>
      </w:r>
      <w:r>
        <w:rPr>
          <w:rFonts w:ascii="SimSun" w:hAnsi="SimSun" w:eastAsia="SimSun"/>
        </w:rPr>
        <w:t xml:space="preserve"> 这要求我们进行持续的内在审视，而非被动接受外部设定。</w:t>
      </w:r>
      <w:r>
        <w:rPr>
          <w:rFonts w:ascii="SimSun" w:hAnsi="SimSun" w:eastAsia="SimSun"/>
          <w:b/>
        </w:rPr>
        <w:t>面对无可逃避的喧嚣，保持精神定力是一种主动的“退守”，还是一种更具智慧的“进取”？</w:t>
      </w:r>
      <w:r>
        <w:rPr>
          <w:rFonts w:ascii="SimSun" w:hAnsi="SimSun" w:eastAsia="SimSun"/>
        </w:rPr>
        <w:t xml:space="preserve"> 它看似是从纷繁中的抽离，实则是为了积蓄力量，更清晰、更坚定地投身于真正重要的事务。</w:t>
      </w:r>
    </w:p>
    <w:p>
      <w:pPr>
        <w:ind w:firstLine="480"/>
      </w:pPr>
      <w:r>
        <w:rPr>
          <w:rFonts w:ascii="SimSun" w:hAnsi="SimSun" w:eastAsia="SimSun"/>
        </w:rPr>
        <w:t>老子的智慧指引我们，在喧嚣中保持定力，绝非消极的逃避，而是一场积极的“内在秩序”的重建。它要求我们像“圣人”一样，确立以“为腹”为核心的价值坐标。这意味着主动进行信息节食，对泛滥的刺激说“不”；意味着培养专注与深度的习惯，在碎片化的世界中捍卫整块的时间与思考的连续性。这种定力，正是“弱水三千，只取一瓢饮”的清醒与勇气，它捍卫的是精神的自主权。其目的并非导向贫瘠，相反，</w:t>
      </w:r>
      <w:r>
        <w:rPr>
          <w:rFonts w:ascii="SimSun" w:hAnsi="SimSun" w:eastAsia="SimSun"/>
          <w:b/>
        </w:rPr>
        <w:t>正如老子“去彼取此”所揭示的，剥离了令人“目盲”的浮华后，心灵才能恢复敏锐，去感知那些更朴素、更本质的生命体验——一次深入的交谈、一段沉浸的阅读、一项创造性的劳作，或仅仅是内心的宁静。</w:t>
      </w:r>
      <w:r>
        <w:rPr>
          <w:rFonts w:ascii="SimSun" w:hAnsi="SimSun" w:eastAsia="SimSun"/>
        </w:rPr>
        <w:t xml:space="preserve"> 定力，最终让我们从被喧嚣定义的“空心人”，回归为自己生命体验的“主权者”。</w:t>
      </w:r>
    </w:p>
    <w:p>
      <w:pPr>
        <w:pStyle w:val="Heading3"/>
      </w:pPr>
      <w:r>
        <w:rPr>
          <w:rFonts w:ascii="SimSun" w:hAnsi="SimSun" w:eastAsia="SimSun"/>
        </w:rPr>
        <w:t>母题二：科技赋魅下的生命本真</w:t>
      </w:r>
    </w:p>
    <w:p>
      <w:pPr>
        <w:ind w:firstLine="480"/>
      </w:pPr>
      <w:r>
        <w:rPr>
          <w:rFonts w:ascii="SimSun" w:hAnsi="SimSun" w:eastAsia="SimSun"/>
        </w:rPr>
        <w:t>现代科技，尤其是虚拟现实、增强现实与沉浸式娱乐，将老子的“五色令人目盲”推向了前所未有的极致。它不仅能模拟，甚至能创造超越现实世界的感官奇观，让我们足不出户便可“驰骋畋猎”，获得即时的、高强度的快乐。这构成了一个关键的现代性悖论：科技极大地拓展了体验的疆界，赋予我们近乎“全能”的感官自由，但这种自由是否让我们更接近生命的本真？当虚拟世界的刺激越来越精准、越来越易得，我们是否会丧失对现实世界那份需要耐心、付出与不完美才能获得的深刻连接的渴望与能力？技术成为一种强大的“赋魅”工具，但它所魅惑的，可能恰恰是我们对“为腹”——那种基于真实、完整与深度的生活体验——的根本需求。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当技术能完美模拟甚至超越现实世界的感官享受时，我们是更自由了，还是陷入了另一种更精致的“目盲”与“心狂”？</w:t>
      </w:r>
      <w:r>
        <w:rPr>
          <w:rFonts w:ascii="SimSun" w:hAnsi="SimSun" w:eastAsia="SimSun"/>
        </w:rPr>
        <w:t xml:space="preserve"> 这迫使我们思考自由的内涵：是欲望被无限满足的“自由”，还是不被欲望奴役的“自由”。</w:t>
      </w:r>
      <w:r>
        <w:rPr>
          <w:rFonts w:ascii="SimSun" w:hAnsi="SimSun" w:eastAsia="SimSun"/>
          <w:b/>
        </w:rPr>
        <w:t>科技在满足人类感官欲望的同时，是否也在悄然重塑乃至异化欲望本身，使我们离满足内在真实需求（“为腹”）越来越远？</w:t>
      </w:r>
      <w:r>
        <w:rPr>
          <w:rFonts w:ascii="SimSun" w:hAnsi="SimSun" w:eastAsia="SimSun"/>
        </w:rPr>
        <w:t xml:space="preserve"> 当算法比我们自己更“懂”我们喜欢什么，我们的欲望是自发的，还是被植入和放大的？</w:t>
      </w:r>
    </w:p>
    <w:p>
      <w:pPr>
        <w:ind w:firstLine="480"/>
      </w:pPr>
      <w:r>
        <w:rPr>
          <w:rFonts w:ascii="SimSun" w:hAnsi="SimSun" w:eastAsia="SimSun"/>
        </w:rPr>
        <w:t>在此情境下，老子的“为腹不为目”提供了一种至关重要的校准思路。它提醒我们，科技发展的方向不应仅仅是追求感官刺激的“通货膨胀”，而应致力于帮助我们触及生命更本质的维度。真正的科技人文主义，在于利用技术作为工具，帮助我们过滤噪音、深化认知、促进真实联结，而非制造更逼真的幻境来隔绝现实。例如，技术可以帮助我们更便捷地获取知识（服务于“腹”之需），而非仅仅推送娱乐八卦（刺激“目”之欲）；可以助力远程协作与情感沟通，而非制造疏离的社交表演。</w:t>
      </w:r>
      <w:r>
        <w:rPr>
          <w:rFonts w:ascii="SimSun" w:hAnsi="SimSun" w:eastAsia="SimSun"/>
          <w:b/>
        </w:rPr>
        <w:t>驾驭科技，而非被其驾驭，要求我们以“为腹”的内在标准，去审视和运用每一种技术。</w:t>
      </w:r>
      <w:r>
        <w:rPr>
          <w:rFonts w:ascii="SimSun" w:hAnsi="SimSun" w:eastAsia="SimSun"/>
        </w:rPr>
        <w:t xml:space="preserve"> 唯有如此，我们才能在数字时代，抵御“难得之货”（如今可能是流量、点赞、虚拟身份）对行为的妨害（“行妨”），守护那份基于真实体验、创造与爱而来的生命丰盈与本真。</w:t>
      </w:r>
    </w:p>
    <w:p>
      <w:pPr>
        <w:ind w:firstLine="480"/>
      </w:pPr>
      <w:r>
        <w:rPr>
          <w:rFonts w:ascii="SimSun" w:hAnsi="SimSun" w:eastAsia="SimSun"/>
        </w:rPr>
        <w:t>---</w:t>
      </w:r>
    </w:p>
    <w:p>
      <w:pPr>
        <w:ind w:firstLine="480"/>
      </w:pPr>
      <w:r>
        <w:rPr>
          <w:rFonts w:ascii="SimSun" w:hAnsi="SimSun" w:eastAsia="SimSun"/>
        </w:rPr>
      </w:r>
      <w:r>
        <w:rPr>
          <w:rFonts w:ascii="SimSun" w:hAnsi="SimSun" w:eastAsia="SimSun"/>
          <w:b/>
        </w:rPr>
        <w:t>参考资料</w:t>
      </w:r>
      <w:r>
        <w:rPr>
          <w:rFonts w:ascii="SimSun" w:hAnsi="SimSun" w:eastAsia="SimSun"/>
        </w:rPr>
        <w:t>：</w:t>
      </w:r>
    </w:p>
    <w:p>
      <w:pPr>
        <w:pStyle w:val="ListBullet"/>
      </w:pPr>
      <w:r>
        <w:rPr>
          <w:rFonts w:ascii="SimSun" w:hAnsi="SimSun" w:eastAsia="SimSun"/>
        </w:rPr>
        <w:t>《道德经》 (老子) : 12.五色令人目盲，五音令人耳聋，五味令人口爽，驰骋畋猎令人心发狂，难得之货令人行妨。是以圣人，为腹不为目，故去彼取此。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