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惚恍与洞察——在不确定时代重审认知、创造与行动的智慧</w:t>
      </w:r>
    </w:p>
    <w:p>
      <w:pPr>
        <w:ind w:firstLine="480"/>
      </w:pPr>
      <w:r>
        <w:rPr>
          <w:rFonts w:ascii="SimSun" w:hAnsi="SimSun" w:eastAsia="SimSun"/>
        </w:rPr>
        <w:t>当代人被海量信息与清晰定义所包围，却在认知上感到前所未有的迷茫；追求着极度确定的路线图，却在创新与适应变化时屡屡碰壁；拥有无数具体的方法论，却在应对复杂现实时感到原则失据。这些困境，早在两千多年前便为老子所洞见。他并未提供确切的答案，而是将我们的目光引向一个更为幽深、更具张力的源头——“惚恍”。老子的核心思辨性正在于此：他尖锐地挑战了将“实在”等同于清晰、可把握、有固定形态之“有”的流行观点，揭示了“无状之状，无物之象”的“惚恍”，才是万物创生与运行的动态本源。这一思想在“有”与“无”之间划开了一道创生性的裂隙，它不是导向虚无，而是指向一种蕴含无限可能性的、尚未分化的整体状态。理解“惚恍”，意味着学习在不确定性中洞察本质，在模糊地带孕育生机，在抽象原理中激活实践。本文将从认知、创新与实践三个维度，解读老子“惚恍”之道对当代人的深刻启迪。</w:t>
      </w:r>
    </w:p>
    <w:p>
      <w:pPr>
        <w:pStyle w:val="Heading3"/>
      </w:pPr>
      <w:r>
        <w:rPr>
          <w:rFonts w:ascii="SimSun" w:hAnsi="SimSun" w:eastAsia="SimSun"/>
        </w:rPr>
        <w:t>母题一：超越感官的认知——直觉、体悟与万物本源的追寻</w:t>
      </w:r>
    </w:p>
    <w:p>
      <w:pPr>
        <w:ind w:firstLine="480"/>
      </w:pPr>
      <w:r>
        <w:rPr>
          <w:rFonts w:ascii="SimSun" w:hAnsi="SimSun" w:eastAsia="SimSun"/>
        </w:rPr>
        <w:t>我们生活在一个过度依赖感官与逻辑实证的时代。眼见为实，数据至上，一切似乎都需被量化、可视化才值得信任。然而，老子在开篇便指出，那生成并维系万物的“道”，恰恰是“视之不见”、“听之不闻”、“搏之不得”的。它超越人类感官的阈限与日常逻辑的框架，存在于一种“混而为一”、“绳绳不可名”的惚恍状态。这并非说道是虚无的，而是提示我们，人类依赖的认知工具——感官与基于其上的理性分析——在面对终极实在时具有根本的局限性。无论是科学探索中无法直接观测的暗物质与暗能量，还是艺术创作中只可意会不可言传的“意境”，抑或个人生命中那些决定性的“灵光一现”，都指向了理性边界之外的真实。老子的“惚恍”概念迫使我们反思：当既定的认知路径失效，我们是宣布对象“不可知”，还是需要谦卑地转换认知模式，从局部分析转向整体领悟，从概念把握转向身心体悟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对于那生成并维系一切的“惚恍”本源，我们宣称其“不可知”，是否恰恰暴露了自身认知模式的傲慢与贫乏？我们习以为常的“知”，是否只是对现象碎片的占有，而非对整体动态的领会？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思想的深刻之处在于，它并未否定认知，而是重新定义了高级认知的形态。“能知古始，是谓道纪”——真正的“知”，是理解那创生之初的“惚恍”状态及其蕴藏的法则。这要求我们“复归於无物”，即放下对具体、僵化概念的执着，让心灵回归空灵与开放，从而能够直观地映照那变动不居的整体。正如科学家需要数学直觉来构想尚未被证实的理论，艺术家需要内在感悟来捕捉超越形式的“象”，管理者需要在庞杂数据中“感觉”到市场的脉动。这种认知不是信息的堆积，而是一种与动态本源相契合的智慧框架。它不是对“惚恍”的消除，而是学会在“惚恍”中保持敏锐的觉察，于“无物之象”中洞察趋势的轮廓，这正是“执古之道以御今之有”的认知前提。</w:t>
      </w:r>
    </w:p>
    <w:p>
      <w:pPr>
        <w:pStyle w:val="Heading3"/>
      </w:pPr>
      <w:r>
        <w:rPr>
          <w:rFonts w:ascii="SimSun" w:hAnsi="SimSun" w:eastAsia="SimSun"/>
        </w:rPr>
        <w:t>母题二：确定性之牢笼——在“惚恍”中孕育创新与可能</w:t>
      </w:r>
    </w:p>
    <w:p>
      <w:pPr>
        <w:ind w:firstLine="480"/>
      </w:pPr>
      <w:r>
        <w:rPr>
          <w:rFonts w:ascii="SimSun" w:hAnsi="SimSun" w:eastAsia="SimSun"/>
        </w:rPr>
        <w:t>现代社会的运行高度依赖于清晰的目标、明确的流程和可预测的结果。从教育中的标准答案，到职场中的KPI考核，再到人生规划中的“几岁该完成何事”，我们试图用确定性编织一张安全之网。然而，老子揭示了“惚恍”的创生价值：道因其“其上不皦，其下不昧”的未定状态，不偏向任何既成框架，才蕴含了生成万物的全部潜能。一切生机勃勃的创造——无论是科学理论的突破、艺术风格的诞生，还是一个新生命的成长——其最具活力的阶段，往往不是目标完全清晰的执行期，而是方向朦胧、可能性纷至沓来的酝酿期，即“惚恍”期。过度追求确定性，犹如试图在种子阶段就规定树木每一片叶子的形状，其结果只能是扼杀生命内在的、超越预设的成长力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当我们用周密的计划将未来的一切“照亮”（皦），是否也同时关闭了那些未被计划照亮、却可能更为重要的“晦暗”（昧）地带的可能性？对“惚恍”的恐惧与驱逐，是否本质上是创造力的自我阉割？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拥抱“惚恍”，并非鼓吹混乱与放任自流。老子的智慧在于揭示了“惚恍”之中自有其“纪”（纲纪）。这是一种更高阶的秩序观：它不是由具体、僵死的条款构成，而是一种能够容纳不确定性、鼓励涌现与生成的动态平衡规则。如同优秀的生态系统，其核心规则（如物质循环、能量流动）是稳定的，但具体物种的演替与互动却充满不可预料的“惚恍”，正是这种“惚恍”保证了系统的韧性与创新。对于个人与组织而言，这意味着在坚守核心价值与方向（“古之道”）的同时，必须为方法、路径甚至部分目标的演变保留充分的开放空间（“御今之有”）。真正的远见，是能识别并守护那个具有生成力的“惚恍”阶段，允许灵感在模糊地带发酵，于“不见首尾”的变化洪流中，凭借对内在“道纪”的体认而稳健航行。</w:t>
      </w:r>
    </w:p>
    <w:p>
      <w:pPr>
        <w:pStyle w:val="Heading3"/>
      </w:pPr>
      <w:r>
        <w:rPr>
          <w:rFonts w:ascii="SimSun" w:hAnsi="SimSun" w:eastAsia="SimSun"/>
        </w:rPr>
        <w:t>母题三：无形之“用”——抽象原理在具体实践中的生命力</w:t>
      </w:r>
    </w:p>
    <w:p>
      <w:pPr>
        <w:ind w:firstLine="480"/>
      </w:pPr>
      <w:r>
        <w:rPr>
          <w:rFonts w:ascii="SimSun" w:hAnsi="SimSun" w:eastAsia="SimSun"/>
        </w:rPr>
        <w:t>在描述了道的超越性与创生性之后，老子最终落脚于“执古之道以御今之有”这一极具现实关怀的结论。这尖锐地提出了一个永恒的难题：那些古老、抽象、看似无形的根本原则（古之道），如何能在瞬息万变、具体而微的现实挑战（今之有）中被有效运用？我们常看到两种失败：一是将原则教条化，生搬硬套，导致“道”与现实脱节，失去生命力；二是完全陷入现实功利，抛弃原则，导致行动失去根基与方向。从古老的“仁爱”精神如何应对网络暴力，到基本的“公平”原则如何适配算法社会，再到企业核心价值观如何在日常决策中真正落地，我们都面临“无形”之道驾驭“有形”之实的考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如何在代代相传中，避免将活生生的“道”风干成僵死的“教条”？当运用抽象原则解决具体问题时，是守护原则的纯粹性更重要，还是取得现实效果的灵活性更重要？两者发生冲突时，“御”的艺术体现在何处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答案蕴含在“能知古始”四字之中。“御今之有”的力量，并非来自对原则条文的机械背诵，而是源于对原则得以诞生的那个源头——“古始”，即最初的“惚恍”情境与根本关切的深刻理解。仁义精神诞生于对生命尊严与和谐共处的本源体察，公平原则根植于对人性需求与社会稳定的根本考量。唯有溯回到这种本源性的、生动的关切，而非固守其在特定历史条件下形成的具体规范，古老的“道”才能获得与时俱进的阐释能力和实践力量。因此，最高明的“运用”，是让原理在现代的土壤中重新“生长”出来。其外在形态（“有”）必然因时因地而变，但其核心所承载的、那股维系生机与和谐的“生”之精神（源于惚恍的“道纪”）却一以贯之。这要求实践者具备一种在“惚恍”中把握恒常、在变化中持守本源的双重视野，这正是“道纪”在现实世界中绵延不绝的生命力所在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14.视之不见名曰夷。听之不闻名曰希。抟之不得名曰微。此三者不可致诘，故混而为一。其上不皦(jiǎo)，其下不昧，绳绳不可名，复归於无物。是谓无状之状，无物之象，是谓惚恍。迎之不见其首，随之不见其後。执古之道以御今之有。能知古始，是谓道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