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执古之幽光，照今之迷途——在变动时代寻找不变之根基</w:t>
      </w:r>
    </w:p>
    <w:p>
      <w:pPr>
        <w:ind w:firstLine="480"/>
      </w:pPr>
      <w:r>
        <w:rPr>
          <w:rFonts w:ascii="SimSun" w:hAnsi="SimSun" w:eastAsia="SimSun"/>
        </w:rPr>
        <w:t>我们身处一个变动不居的时代，信息爆炸、技术迭代、价值多元，使得“当下”显得格外纷繁而短暂。人们常常陷入追逐热点、应对变化的焦虑，却感到方向感的匮乏与根基的虚浮。正是在这样的语境下，老子于两千多年前提出的“执古之道以御今之有”，如一道穿透时空的幽光，为我们提供了一种深刻的安顿智慧。然而，老子的思想核心充满了张力与悖论：他一方面强调了有一个超越时空、永恒不变的“道”作为万物的根本规律（“道纪”），另一方面，却又将这个“道”描述为“视之不见，听之不闻，搏之不得”的“惚恍”存在。这恰恰构成了其思想最富思辨性的内核：</w:t>
      </w:r>
      <w:r>
        <w:rPr>
          <w:rFonts w:ascii="SimSun" w:hAnsi="SimSun" w:eastAsia="SimSun"/>
          <w:b/>
        </w:rPr>
        <w:t>他挑战了将智慧等同于具体、清晰、可操作知识的流行观念，揭示了真正的“驾驭”并非依赖于对表面现象的精准控制，而是源于对那混沌、整全、难以名状之本源的深刻体悟与灵活运用。</w:t>
      </w:r>
      <w:r>
        <w:rPr>
          <w:rFonts w:ascii="SimSun" w:hAnsi="SimSun" w:eastAsia="SimSun"/>
        </w:rPr>
        <w:t xml:space="preserve"> 因此，“执古御今”绝非复古或守旧，而是一场向根源处回溯，再携洞见重返现实的创造性实践。下文将从两个核心母题出发，探寻这一古老智慧如何照亮我们当下的困惑。</w:t>
      </w:r>
    </w:p>
    <w:p>
      <w:pPr>
        <w:pStyle w:val="Heading3"/>
      </w:pPr>
      <w:r>
        <w:rPr>
          <w:rFonts w:ascii="SimSun" w:hAnsi="SimSun" w:eastAsia="SimSun"/>
        </w:rPr>
        <w:t>母题一：以“道纪”为桥：论普遍原理与具体实践的辩证</w:t>
      </w:r>
    </w:p>
    <w:p>
      <w:pPr>
        <w:ind w:firstLine="480"/>
      </w:pPr>
      <w:r>
        <w:rPr>
          <w:rFonts w:ascii="SimSun" w:hAnsi="SimSun" w:eastAsia="SimSun"/>
        </w:rPr>
        <w:t>老子“执古御今”的智慧，其精妙处在于将“古”与“今”通过“道”这一核心概念动态地联结起来。破题的关键在于精准区分“古之道”与“古之形”。“道”是那“无状之状，无物之象”的普遍规律与生成法则，是万物之始的“古始”；而历史上呈现的具体制度、技术、案例，都只是“道”在特定时空条件下的具体形态（“今之有”在当时的表现）。因此，“执古”绝非执着于那些已然逝去的具体形态，而是把握那生生不息、贯穿古今的“道纪”。例如，儒家“仁者爱人”的精神（可视为一种“人道”的体现）是超越时代的，但“三纲五常”的具体伦理规范则是历史的产物。真正的智慧，在于穿透历史的具体迷雾，握住那永恒的“仁爱”内核，再结合“今之有”——当代的社会结构、人际关系、技术条件——创造出适宜的践行方式。这要求我们具备一种“元认知”能力，即不断追问具体实践背后的根本原则为何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人工智能、生命科技等前所未有的“今之有”不断涌现，我们赖以判断其伦理边界的“古之道”究竟是什么？是“仁爱”、“公正”这些抽象原则，还是《圣经》、《论语》中的具体诫命？我们如何确保对普遍原则的坚守，不会沦为阻碍科技向善创新的“铁笼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“道纪”思想，为我们提供了一种极具张力的解答。它首先要求我们进行一场精神的“溯源”之旅，“能知古始”，即体悟文明、人性乃至宇宙生成的最初法则与和谐状态。这并非为了复刻一个想象中的黄金时代，而是为了校准我们行动的“罗盘”。在应对具体问题时，我们不应机械地寻找历史先例来套用，而应以“道纪”为内在的创造源泉。例如，面对算法可能带来的偏见与歧视这一“今之有”，我们不应简单地从古代律法中寻找判决先例，而应回溯至“公正”、“平等”这一“古道”，并以此为原则，激发我们去设计更透明的算法审计机制、更包容的数据治理框架。这便是“活化”的传承：不变的是对根本价值的持守，变化的是实现价值的创造性路径。正如金句所言，“执古之道以御今之有”，其精髓在于以不变（道）应万变（有），在动态实践中实现古今精神的贯通与知行合一。</w:t>
      </w:r>
    </w:p>
    <w:p>
      <w:pPr>
        <w:pStyle w:val="Heading3"/>
      </w:pPr>
      <w:r>
        <w:rPr>
          <w:rFonts w:ascii="SimSun" w:hAnsi="SimSun" w:eastAsia="SimSun"/>
        </w:rPr>
        <w:t>母题二：于“惚恍”中见真知：技术理性时代的整体性思维</w:t>
      </w:r>
    </w:p>
    <w:p>
      <w:pPr>
        <w:ind w:firstLine="480"/>
      </w:pPr>
      <w:r>
        <w:rPr>
          <w:rFonts w:ascii="SimSun" w:hAnsi="SimSun" w:eastAsia="SimSun"/>
        </w:rPr>
        <w:t>老子对“道”的形容——“夷”、“希”、“微”、“惚恍”——与现代文明引以为傲的技术理性形成了鲜明对照。后者追求的是清晰的定义、精确的测量、可重复的验证与效率的最大化，其力量在于将复杂世界分割、量化、建模，从而实现对局部的高效操控。然而，破题之处在于，这种强大的分析思维在带来巨大成就的同时，也可能让我们遗忘或贬低了那种对世界整体性、关联性与混沌本源的直观把握能力。“道”的“不可致诘”、“混而为一”，恰恰是对世界本真复杂性与有机联系的诗意揭示。当我们习惯于用GDP衡量发展、用KPI考核价值、用标签理解人群时，我们是否正失去对社会生态整体健康、对生命内在丰富性、对事物间微妙关联的“惚恍”感知？这种感知的退化，可能导致我们在驾驭“今之有”时，赢得战役却输掉战争，解决局部问题却引发系统性危机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切皆可被数据捕获、算法预测的今天，那种对“整体氛围”、“微妙平衡”和“不可言传之意”的模糊感知，是否已成为一种濒危的认知能力？当我们用精确的模型来应对气候变化、社会治理等超级复杂系统时，是否恰恰因为过度追求“清晰”而忽视了系统内部“惚恍”的非线性互动，从而埋下了更大风险的种子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在此展现出深刻的批判性与建设性。“惚恍”并非认识的终点，而是一种更高阶认知的起点。它要求我们在运用技术理性进行“分割”与“征服”之后，或同时，保持一种“复归于无物”的整体观照。这并非否定科学与技术，而是为其设立一个反思性的、谦逊的根基。真正的“御今之有”，在于实现两种思维的辩证融合。例如，在智慧城市建设中，我们既需要大数据、物联网提供的精确监控与调度能力（“有”的层面），也需要一种“道”的思维，去关切城市作为有机生命体的呼吸感、社区邻里间的情感联结、与自然环境的和谐共生（“无”的层面）。后者无法被完全量化，却决定了城市的真正活力与可持续性。因此，驾驭复杂现实，需要我们既敢于进入“惚恍”，在不确定性中把握整体脉络与根本方向；又善于运用清晰工具，在具体环节中有效作为。这便是在精确与混沌、分析与综合之间保持必要的张力，以“道”的整全视野，引领技术理性的具体航程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14.视之不见名曰夷。听之不闻名曰希。抟之不得名曰微。此三者不可致诘，故混而为一。其上不皦(jiǎo)，其下不昧，绳绳不可名，复归於无物。是谓无状之状，无物之象，是谓惚恍。迎之不见其首，随之不见其後。执古之道以御今之有。能知古始，是谓道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