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失序的刻度——论道德作为补救方案的本性与超越</w:t>
      </w:r>
    </w:p>
    <w:p>
      <w:pPr>
        <w:ind w:firstLine="480"/>
      </w:pPr>
      <w:r>
        <w:rPr>
          <w:rFonts w:ascii="SimSun" w:hAnsi="SimSun" w:eastAsia="SimSun"/>
        </w:rPr>
        <w:t>在今日社会，道德模范的光辉形象与仁义礼信的倡导话语无处不在，似乎构成了文明社会坚不可摧的精神基石。然而，两千多年前的老子以其穿透性的智慧，为我们揭示了道德繁荣景象背后的深刻悖论：</w:t>
      </w:r>
      <w:r>
        <w:rPr>
          <w:rFonts w:ascii="SimSun" w:hAnsi="SimSun" w:eastAsia="SimSun"/>
          <w:b/>
        </w:rPr>
        <w:t>越是彰显仁义孝慈，越是反衬出“大道”已然废弛的困局</w:t>
      </w:r>
      <w:r>
        <w:rPr>
          <w:rFonts w:ascii="SimSun" w:hAnsi="SimSun" w:eastAsia="SimSun"/>
        </w:rPr>
        <w:t>。他的核心思辨张力在于，他并非否定仁义的价值，而是彻底挑战了将道德奉为终极价值与文明成就的流行观点。他犀利地指出，道德、智慧、忠孝等正面价值，本质上都是对一种先在的、更根本的“失落状态”——即自然无为的“大道”之和谐——的补救性回应。它们不是文明的原点，而是失序的刻度。这迫使我们从对道德规范本身的津津乐道，转向对催生其必要性之深层病因的追问：一个真正和谐的社会，其标志恰恰可能是道德的“隐身”而非彰显。本文将以老子“大道废有仁义”的思想为镜，审视我们在本真与建构、自然秩序与人为设计之间的永恒张力。</w:t>
      </w:r>
    </w:p>
    <w:p>
      <w:pPr>
        <w:pStyle w:val="Heading3"/>
      </w:pPr>
      <w:r>
        <w:rPr>
          <w:rFonts w:ascii="SimSun" w:hAnsi="SimSun" w:eastAsia="SimSun"/>
        </w:rPr>
        <w:t>母题一：本真与建构——当自然失落，我们如何安放道德？</w:t>
      </w:r>
    </w:p>
    <w:p>
      <w:pPr>
        <w:ind w:firstLine="480"/>
      </w:pPr>
      <w:r>
        <w:rPr>
          <w:rFonts w:ascii="SimSun" w:hAnsi="SimSun" w:eastAsia="SimSun"/>
        </w:rPr>
        <w:t>从老子的视角出发，所有关于“仁义道德是否重要”的争论都显得过于表层。他迫使我们转换问题的坐标：</w:t>
      </w:r>
      <w:r>
        <w:rPr>
          <w:rFonts w:ascii="SimSun" w:hAnsi="SimSun" w:eastAsia="SimSun"/>
          <w:b/>
        </w:rPr>
        <w:t>道德的出现，本身就是一个需要被解释的现象</w:t>
      </w:r>
      <w:r>
        <w:rPr>
          <w:rFonts w:ascii="SimSun" w:hAnsi="SimSun" w:eastAsia="SimSun"/>
        </w:rPr>
        <w:t>。在一个理想的本真状态（“道”）中，万物自然运化，人际关系圆融无碍，一切善行皆发自内在、无需提倡。正如健康的人不会时刻惦记“养生法则”，真正和谐的社会也不需要将“仁义”高悬为训诫。因此，“仁义”被隆重地提出、建构并反复强调，这一行为本身就如同体温计上的高烧刻度，昭示着社会肌体已经“生病”——原有的、自发和谐的自然之道（“大道”）已然“废”弛。我们今日所面对的，不是一个“要不要道德”的选择题，而是一个已然置身于“道德何为”的补救现场。那些被我们视为文明根基的宏大道德叙事与精密伦理体系，或许正是我们为告别某种更古朴、更整体的本真状态所支付的“文明代价”，是一种精巧的“精神代偿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将道德规范（如仁义）从外在的社会要求内化为个人的自觉追求时，我们究竟是实现了人性的升华，还是完成了对某种更本真、更自由的生命状态的最终规训与告别？如果我们承认文明进程本身就是一个不断“建构”并远离“自然”的过程，那么，追求道德的理想，是否在本质上蕴含着一个无法化解的悖论：我们越努力“向善”，离老子所说的那种“不言而善应”的自然之善就越远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思想并非导向道德虚无主义，而是开启了一种更为深刻的“后道德”思考。立意进阶的关键在于，认识到道德的“补救”性质后，我们不应抛弃道德，而应追求对道德的“超越”。真正的善行，不应是对刻板教条的勉强遵从，也不应是为博取赞誉的刻意表演，而应是在洞悉了社会与人性失序的根源后，内心油然生发的、近乎本能的自然反应。这就要求我们在践行社会规范时，始终怀有一种“视角的谦逊”：将现有的道德体系视为指向“大道”的路标而非终点本身，始终对其保持反思与超越的可能。教育的最高目标，或许不是培养熟记规训的“模范生”，而是培育能感知生命整体性、能在复杂情境中自发作出和谐回应的“自然人”。正如金句“大道废有仁义”所揭示的，我们真正的追求，是让“仁义”因其成功“疗愈”了社会而最终变得不再需要被突出强调，让道德行为复归于如同呼吸般自然无形的状态。</w:t>
      </w:r>
    </w:p>
    <w:p>
      <w:pPr>
        <w:pStyle w:val="Heading3"/>
      </w:pPr>
      <w:r>
        <w:rPr>
          <w:rFonts w:ascii="SimSun" w:hAnsi="SimSun" w:eastAsia="SimSun"/>
        </w:rPr>
        <w:t>母题二：秩序之辩——自然的“混沌”与人为的“清明”</w:t>
      </w:r>
    </w:p>
    <w:p>
      <w:pPr>
        <w:ind w:firstLine="480"/>
      </w:pPr>
      <w:r>
        <w:rPr>
          <w:rFonts w:ascii="SimSun" w:hAnsi="SimSun" w:eastAsia="SimSun"/>
        </w:rPr>
        <w:t>“国家昏乱有忠臣”，老子这一论断如同一把锋利的手术刀，剖开了我们对“秩序”的迷思。在常识看来，忠臣良将辈出是国力强盛、政治清明的象征。但老子却逆向揭示：</w:t>
      </w:r>
      <w:r>
        <w:rPr>
          <w:rFonts w:ascii="SimSun" w:hAnsi="SimSun" w:eastAsia="SimSun"/>
          <w:b/>
        </w:rPr>
        <w:t>当“忠臣”作为一种被特别表彰、极度稀缺的典范资源而凸显时，恰恰证明系统已陷入了普遍性的“昏乱”</w:t>
      </w:r>
      <w:r>
        <w:rPr>
          <w:rFonts w:ascii="SimSun" w:hAnsi="SimSun" w:eastAsia="SimSun"/>
        </w:rPr>
        <w:t>。他所推崇的“大道”之下的秩序，并非我们熟悉的那种依靠严明律法、清晰层级和突出英雄来维持的“人造清明”。那是一种“太上，不知有之”的境界，是万物各循其性、自得其乐的“有机和谐”，它可能表面呈现某种“混沌”的、非中心化的面貌，却蕴含着最深层的活力与平衡。反之，当社会必须依靠强力纠偏、树立楷模来维系时，这套高度“清明”的人造秩序，本身就成了对深层失序的确认与无奈应对，甚至可能因过度干预而破坏系统自我修复的“自然”机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引以为傲的社会治理与组织效率，所依赖的科层、法律与模范引领，究竟是在无限逼近一种理想的自然和谐，还是在用一套精致的“人造逻辑”覆盖并扼杀了社会机体的“自然逻辑”？当一个系统需要不断依赖“英雄式”的人物或行为（如忠臣、道德标兵）来拯救和定义时，这是系统韧性强大的表现，还是其脆弱性已深入骨髓、不得不依赖“外部”强心针的危机征兆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老子的智慧为我们提供了一种治理哲学的终极视野：</w:t>
      </w:r>
      <w:r>
        <w:rPr>
          <w:rFonts w:ascii="SimSun" w:hAnsi="SimSun" w:eastAsia="SimSun"/>
          <w:b/>
        </w:rPr>
        <w:t>最好的秩序，是让“秩序”本身隐而不显的秩序</w:t>
      </w:r>
      <w:r>
        <w:rPr>
          <w:rFonts w:ascii="SimSun" w:hAnsi="SimSun" w:eastAsia="SimSun"/>
        </w:rPr>
        <w:t>。立意进阶在于，社会治理的最高目标，不应是培育更多力挽狂澜的孤胆英雄，而在于改良土壤、疏通脉络，致力于创造一个让“忠臣”和“模范”变得不那么“特殊”甚至不必要的社会环境。这指向一种“分布式”的良好秩序：通过制度设计激发每一个个体的内在责任与生机，使维护整体和谐成为所有人的自觉而非少数人的重担。真正的“善治”，是系统能够消化矛盾、自我调节，使突出的、对抗性的“忠义”行为失去用武之地，最终让百姓在不知不觉中安居乐业，“功成事遂，百姓皆谓我自然”。因此，当我们赞美忠臣与模范时，更应保持一份清醒的反思：他们的光辉，在照亮榜样的同时，是否也照见了系统深处有待疗愈的“昏乱”阴影？我们的努力方向，应是从表彰“补救者”，转向修复那个催生“补救需求”的根本系统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18.大道废有仁义；慧智出有大伪；六亲不和有孝慈；国家昏乱有忠臣。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