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病树的显影——论美德标榜与系统失灵的哲学镜鉴</w:t>
      </w:r>
    </w:p>
    <w:p>
      <w:pPr>
        <w:ind w:firstLine="480"/>
      </w:pPr>
      <w:r>
        <w:rPr>
          <w:rFonts w:ascii="SimSun" w:hAnsi="SimSun" w:eastAsia="SimSun"/>
        </w:rPr>
        <w:t>在当下，我们似乎置身于一个“表彰时代”：感动中国人物、最美逆行者、行业忠诚奖……社会不吝用最隆重的礼赞来标榜美德。这无可厚非。然而，两千多年前的老子却以一句冷峻的箴言，刺穿了这种颂扬文化的温情表象：“国家昏乱有忠臣”。他的核心思辨张力正在于此：</w:t>
      </w:r>
      <w:r>
        <w:rPr>
          <w:rFonts w:ascii="SimSun" w:hAnsi="SimSun" w:eastAsia="SimSun"/>
          <w:b/>
        </w:rPr>
        <w:t>他并非否定美德本身，而是挑战了那种将美德视为孤立、崇高奇观的流行思维，并揭示了一个深刻的悖论——一个健康、自然运转的系统中，美德应是如呼吸般寻常的本分，无需刻意表彰；而当一个系统（国家、社会、家庭）开始高调标榜某种特定美德时，这恰恰是其该领域系统性失序与根基动摇的最确凿信号。</w:t>
      </w:r>
      <w:r>
        <w:rPr>
          <w:rFonts w:ascii="SimSun" w:hAnsi="SimSun" w:eastAsia="SimSun"/>
        </w:rPr>
        <w:t xml:space="preserve"> 因此，忠臣、孝子、诚信者的涌现，其首要意义并非单纯的道德楷模，而更像是悬挂在“病树”之上的清晰诊断报告。本文将以老子这一思想为镜，审视“被标榜的美德”如何成为洞察系统健康度的关键维度。</w:t>
      </w:r>
    </w:p>
    <w:p>
      <w:pPr>
        <w:pStyle w:val="Heading3"/>
      </w:pPr>
      <w:r>
        <w:rPr>
          <w:rFonts w:ascii="SimSun" w:hAnsi="SimSun" w:eastAsia="SimSun"/>
        </w:rPr>
        <w:t>母题一：标榜的危机——论“被强调的美德”背后的社会失序</w:t>
      </w:r>
    </w:p>
    <w:p>
      <w:pPr>
        <w:ind w:firstLine="480"/>
      </w:pPr>
      <w:r>
        <w:rPr>
          <w:rFonts w:ascii="SimSun" w:hAnsi="SimSun" w:eastAsia="SimSun"/>
        </w:rPr>
        <w:t>从老子“大道废有仁义”的整体逻辑来看，“忠臣”现象绝非孤例，它揭示了一种普遍的社会病理学：当一种本应内化于行为规范的价值，被推至前台并加以盛大表彰时，这通常不是道德升华的庆典，而是其根基普遍性溃散的警报。在一个政治清明的时代，官员恪尽职守是制度运转的自然结果，“忠诚”融于日常公务，无需特别强调；反之，当忠诚需要被树立为悲壮楷模、需要媒体大书特书时，恰恰说明不忠、推诿、腐败已成为体制内的某种常态，系统的激励与约束机制已然失灵。这就像当一个家庭需要频繁召开“亲情表彰会”来赞美孝行时，往往意味着家庭内部的日常温情与伦理纽带已出现裂痕。因此，破题的关键在于转移视线：不再仅仅凝视被表彰者的光辉形象，而是转身去审视那催生这一“光辉”的、晦暗的系统性背景板。</w:t>
      </w:r>
    </w:p>
    <w:p>
      <w:pPr>
        <w:ind w:firstLine="480"/>
      </w:pPr>
      <w:r>
        <w:rPr>
          <w:rFonts w:ascii="SimSun" w:hAnsi="SimSun" w:eastAsia="SimSun"/>
        </w:rPr>
      </w:r>
      <w:r>
        <w:rPr>
          <w:rFonts w:ascii="SimSun" w:hAnsi="SimSun" w:eastAsia="SimSun"/>
          <w:b/>
        </w:rPr>
        <w:t>当一个社会不遗余力地呼唤和表彰某种美德（如“诚信模范”、“良心企业家”）时，我们是在见证美德的复兴，还是在目睹美德赖以生存的制度性土壤（如法律监管、市场信誉机制）的持续沙化？我们因乱世忠臣的悲壮故事而热血沸腾时，是否在情感宣泄中，悄然放松了对导致“乱世”的权力失衡、制度腐败等系统性痼疾的理性追问与问责？</w:t>
      </w:r>
      <w:r>
        <w:rPr>
          <w:rFonts w:ascii="SimSun" w:hAnsi="SimSun" w:eastAsia="SimSun"/>
        </w:rPr>
      </w:r>
    </w:p>
    <w:p>
      <w:pPr>
        <w:ind w:firstLine="480"/>
      </w:pPr>
      <w:r>
        <w:rPr>
          <w:rFonts w:ascii="SimSun" w:hAnsi="SimSun" w:eastAsia="SimSun"/>
        </w:rPr>
        <w:t>老子的智慧指引我们进行立意上的深刻进阶：一个文明的成熟度，不在于其能产出多少在废墟上绽放的悲剧英雄，而在于其能否构建一个让美德得以普遍、自然、低成本践行的“大道”——即健全的制度与良善的公共生活。个人在逆境中坚守的德性光芒固然令人动容，但其更应被视作一盏探照灯，照亮系统失灵的暗角，而非成为掩盖系统问题的遮羞布或安慰剂。因此，真正的社会进步，体现在对“为何总是需要英雄来拯救”这一问题的不断消解上，体现在努力让“忠诚”复归为公务员的本分、“诚信”复归为商人的常态、“孝慈”复归为家庭的温情的系统建设中。感动之余，我们必须保留一份清醒：对英雄的过度颂扬，有时可能反衬出我们对建造一个无需英雄的平常世界的无能或怠惰。</w:t>
      </w:r>
    </w:p>
    <w:p>
      <w:pPr>
        <w:pStyle w:val="Heading3"/>
      </w:pPr>
      <w:r>
        <w:rPr>
          <w:rFonts w:ascii="SimSun" w:hAnsi="SimSun" w:eastAsia="SimSun"/>
        </w:rPr>
        <w:t>母题二：系统的镜鉴——个人德性如何照见与修复制度之弊</w:t>
      </w:r>
    </w:p>
    <w:p>
      <w:pPr>
        <w:ind w:firstLine="480"/>
      </w:pPr>
      <w:r>
        <w:rPr>
          <w:rFonts w:ascii="SimSun" w:hAnsi="SimSun" w:eastAsia="SimSun"/>
        </w:rPr>
        <w:t>将“忠臣是昏乱的镜子”这一核心隐喻展开，我们进入个人卓越德性与系统性缺陷之间的辩证关系的深层探讨。忠臣、直言犯谏者、坚守底线的普通人，他们的存在价值，首先在于其“诊断性”。如同高烧是体内感染的信号，他们的“突出”与“悲壮”，正是政治机体或社会肌体罹患重症的症候显现。他们以一己之身，划破了系统麻木的表皮，让溃烂的真相暴露于光天化日之下。因此，其首要功能是“揭示病灶”，而非“替代疗愈”。破题的核心在于，我们应将这些具有高尚德性的个体，视为最珍贵、最生动的“制度病理切片”，他们的故事与命运，为后世研究系统如何失灵、权力如何腐化、共识如何破裂，提供了无可替代的活体样本。</w:t>
      </w:r>
    </w:p>
    <w:p>
      <w:pPr>
        <w:ind w:firstLine="480"/>
      </w:pPr>
      <w:r>
        <w:rPr>
          <w:rFonts w:ascii="SimSun" w:hAnsi="SimSun" w:eastAsia="SimSun"/>
        </w:rPr>
      </w:r>
      <w:r>
        <w:rPr>
          <w:rFonts w:ascii="SimSun" w:hAnsi="SimSun" w:eastAsia="SimSun"/>
          <w:b/>
        </w:rPr>
        <w:t>面对系统性溃败，具有德性自觉的个体，其更有效的角色是成为一把精准冷静的“制度手术刀”，致力于剖析病因、推动革新，还是最终往往被迫沦为一块燃烧自我、却仅能暂时封堵漏洞的“悲情补丁”？从长远历史周期看，文天祥、岳飞等以个人品格对抗时代暗流的典范，他们的牺牲，其终极意义是延缓了一个腐朽王朝的寿命，还是以其极致的人格光芒，如闪电般照亮了旧秩序的不合理性，从而加速了人们对其的彻底否定与新秩序共识的萌生？</w:t>
      </w:r>
      <w:r>
        <w:rPr>
          <w:rFonts w:ascii="SimSun" w:hAnsi="SimSun" w:eastAsia="SimSun"/>
        </w:rPr>
      </w:r>
    </w:p>
    <w:p>
      <w:pPr>
        <w:ind w:firstLine="480"/>
      </w:pPr>
      <w:r>
        <w:rPr>
          <w:rFonts w:ascii="SimSun" w:hAnsi="SimSun" w:eastAsia="SimSun"/>
        </w:rPr>
        <w:t>由此，我们可以实现立意的关键性跃升：老子思想启示我们，对个人德性的最高理解，不应局限于危难时的“誓死效忠”或“洁身自好”。在哲学层面，一种更具建设性的、完整的“忠诚”，应当包含对共同体深层次利益的忠诚，而这必然要求对危害共同体健康运行的体制性毒素进行不妥协的揭示与革新的勇气。个人德行的光芒，其伟大使命在于成为刺破黑暗、指引改革方向的灯塔，而非仅仅作为支撑将倾大厦的、注定被牺牲的栋梁。因此，当我们回望历史或观察现实时，对那些“忠臣”式人物的评价，应超越对其个人气节的唏嘘与赞叹，深入思考：他们的存在与遭遇，为我们提供了关于权力制衡、信息透明、权利保障等方面怎样的、血泪写成的“制度设计反面教材”？他们用生命照亮的，是怎样一条通往“国家不昏乱，而忠臣亦不必显”的理想治理之途？这，或许是老子“无为之治”背后，最深切的现实关怀与最犀利的制度批判精神。</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18.大道废有仁义；慧智出有大伪；六亲不和有孝慈；国家昏乱有忠臣。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