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包容的“要妙”：在分裂时代看见转化的可能</w:t>
      </w:r>
    </w:p>
    <w:p>
      <w:pPr>
        <w:ind w:firstLine="480"/>
      </w:pPr>
      <w:r>
        <w:rPr>
          <w:rFonts w:ascii="SimSun" w:hAnsi="SimSun" w:eastAsia="SimSun"/>
        </w:rPr>
        <w:t>在这个日益分化的世界里，“择善而从、疾恶如仇”似乎成为一种不言而喻的生存智慧。然而，早在两千多年前，老子便在《道德经》中提出了一个充满悖论与张力的洞见，直指这种二元对立思维的内在迷障。其核心思辨性恰恰在于，它挑战了我们“推崇一端、排斥另一端”的本能反应，揭示了一个深刻的悖论：</w:t>
      </w:r>
      <w:r>
        <w:rPr>
          <w:rFonts w:ascii="SimSun" w:hAnsi="SimSun" w:eastAsia="SimSun"/>
          <w:b/>
        </w:rPr>
        <w:t>将智慧固化为一种简单的分别心，看似清醒，实则会遮蔽事物相互依存、相互转化的玄妙本质，此即“虽智大迷”。</w:t>
      </w:r>
      <w:r>
        <w:rPr>
          <w:rFonts w:ascii="SimSun" w:hAnsi="SimSun" w:eastAsia="SimSun"/>
        </w:rPr>
        <w:t xml:space="preserve"> 老子认为，真正的智者，如“圣人”一般，其高明（“袭明”）之处在于“常善救人，故无弃人；常善救物，故无弃物”，即总能以最恰切的方式救助人与物，因而没有什么是该被抛弃的。由此，他提出了“师资相资”的辩证关系：善人可以做不善人的老师（师），而不善人也可以成为善人反思借鉴的资源（资）。这绝非简单的道德相对主义，而是基于“道”包容万物的视野，看到对立双方动态共生的“要妙”。下文将围绕两个核心母题，探讨这一古老智慧如何照亮个体成长与社会构建的现实迷思。</w:t>
      </w:r>
    </w:p>
    <w:p>
      <w:pPr>
        <w:pStyle w:val="Heading3"/>
      </w:pPr>
      <w:r>
        <w:rPr>
          <w:rFonts w:ascii="SimSun" w:hAnsi="SimSun" w:eastAsia="SimSun"/>
        </w:rPr>
        <w:t>母题一：成长的镜鉴：以他人为“师”，以自我为“资”</w:t>
      </w:r>
    </w:p>
    <w:p>
      <w:pPr>
        <w:ind w:firstLine="480"/>
      </w:pPr>
      <w:r>
        <w:rPr>
          <w:rFonts w:ascii="SimSun" w:hAnsi="SimSun" w:eastAsia="SimSun"/>
        </w:rPr>
        <w:t>传统的成长叙事，常鼓励我们寻找光明的榜样并奋力追赶，同时对“不善”敬而远之。老子的“师资相资”思想，则为我们打开了一扇更具整合性与韧性的成长之门。这里的破题角度，在于认识到成长不仅是单向度的“向上攀升”，更是双向度的“向内整合”。真正的成熟，不仅在于从“善人”身上汲取正向力量（师），更在于如何将“不善人”——无论是他人的失败、自身的缺陷，还是社会的阴暗面——主动转化为锻造心智、洞察人性的宝贵资源（资）。例如，目睹一次职场中的失信行为，其价值远不止于确认“诚信很重要”这个简单结论；更深层的成长在于，它能成为一面镜子，迫使我们反躬自问：在何种压力下，我是否也可能做出妥协？我现有的原则是否足够坚固？这个过程，跳脱了简单的道德模仿或自我谴责，而是将一切外在的“不善”内化为锤炼内在完整性的“养分”，从而实现老子所说的“无弃物”——不浪费任何一段经历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在信息爆炸的时代，我们更容易接触“善”的榜样，但为何对“不善”的观察与反思，有时比单纯的模仿更能促发深刻的成长？</w:t>
      </w:r>
      <w:r>
        <w:rPr>
          <w:rFonts w:ascii="SimSun" w:hAnsi="SimSun" w:eastAsia="SimSun"/>
        </w:rPr>
        <w:t xml:space="preserve"> 模仿往往带来的是形式的复制，而面对“不善”，我们被迫启动更深层次的防御、辨析与建构机制，这直接触及价值观的根基与行为的内在逻辑。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如果将“他人之过”作为自己引以为戒的“资”，我们该如何避免滑入居高临下的道德审判，或陷入“五十步笑百步”的思维陷阱？</w:t>
      </w:r>
      <w:r>
        <w:rPr>
          <w:rFonts w:ascii="SimSun" w:hAnsi="SimSun" w:eastAsia="SimSun"/>
        </w:rPr>
        <w:t xml:space="preserve"> 这要求我们反思，借鉴“不善”时，我们的心态是庆幸“我比他好”的优越感，还是心怀“我亦有可能”的警醒与谦卑？</w:t>
      </w:r>
    </w:p>
    <w:p>
      <w:pPr>
        <w:ind w:firstLine="480"/>
      </w:pPr>
      <w:r>
        <w:rPr>
          <w:rFonts w:ascii="SimSun" w:hAnsi="SimSun" w:eastAsia="SimSun"/>
        </w:rPr>
        <w:t>由此，成长的立意可以完成一次关键的进阶。它不再仅仅是变得“更好”，而是达到一种“无弃人”的圆融生命状态——不放弃、不割裂自我经历中的任何部分，哪怕是那些被视为“不善”的阴影。这要求我们具备一种“袭明”之心，即内在的澄明智慧，能够平等地看待“师”与“资”，既不盲目崇拜榜样（“不贵其师”），也不功利地利用反面案例（“不爱其资”）。正如老子警示的“虽智大迷”，若我们带着强烈的分别心去学习，即便积累了再多的“善”的知识，也可能因无法洞察人性的复杂与转化的可能而陷入更大的迷障。因此，最高级的成长，是一种主动的、整合性的修炼：它从“善”中汲取超越的力量，从“不善”中照见自身的局限与人性共通的脆弱，最终将所有遭遇熔铸为一个更具深度、广度与韧性的自我。</w:t>
      </w:r>
    </w:p>
    <w:p>
      <w:pPr>
        <w:pStyle w:val="Heading3"/>
      </w:pPr>
      <w:r>
        <w:rPr>
          <w:rFonts w:ascii="SimSun" w:hAnsi="SimSun" w:eastAsia="SimSun"/>
        </w:rPr>
        <w:t>母题二：包容的智慧：“无弃”社会与价值共生</w:t>
      </w:r>
    </w:p>
    <w:p>
      <w:pPr>
        <w:ind w:firstLine="480"/>
      </w:pPr>
      <w:r>
        <w:rPr>
          <w:rFonts w:ascii="SimSun" w:hAnsi="SimSun" w:eastAsia="SimSun"/>
        </w:rPr>
        <w:t>当我们将视野从个人延展至社会，“师资相资”的思想便展现出其宏阔的治理智慧与社会理想。原文中“圣人常善救人，故无弃人”的宣告，为我们反思何为真正的包容性社会提供了哲学基石。破题角度在于，一个健全、有活力的文明，其先进性并非体现在对“不善”的物理清除或道德隔离上，而在于它能否构建一种制度、文化与心灵空间，使“善”与“不善”的共存，从一种威胁转化为相互激发、相互成就的张力之源。现代社会治理往往追求整齐划一的秩序与效率，容易催生“标签化”与“边缘化”，实质上是制造了“弃人”。老子的思想则追问：我们的教育是更多地培养“优胜者”，还是“常善救人”者？我们的司法是重在惩罚与隔离，还是致力于教化与回归的可能？我们的公共言论场域，是加剧对立，还是为不同乃至“不善”的声音提供了反思与转化的对话渠道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追求秩序与效率的现代社会，应如何处理“无弃人”的理想与“优胜劣汰”的现实规则之间的矛盾？包容是否等于纵容？</w:t>
      </w:r>
      <w:r>
        <w:rPr>
          <w:rFonts w:ascii="SimSun" w:hAnsi="SimSun" w:eastAsia="SimSun"/>
        </w:rPr>
        <w:t xml:space="preserve"> 这触及了理想原则与现实运作的核心张力，要求我们思考规则的刚性边界与“救人”的柔性智慧如何平衡。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“不善人”作为“善人之资”，对社会而言，其价值仅仅是作为反面教材用以警醒世人，还是应被视为一个有待“拯救”与“转化”的、同样具有潜力的组成部分？</w:t>
      </w:r>
      <w:r>
        <w:rPr>
          <w:rFonts w:ascii="SimSun" w:hAnsi="SimSun" w:eastAsia="SimSun"/>
        </w:rPr>
        <w:t xml:space="preserve"> 这个问题区分了静态的、工具化的看待“不善”的方式，与动态的、基于生命尊严的“救”的伦理。</w:t>
      </w:r>
    </w:p>
    <w:p>
      <w:pPr>
        <w:ind w:firstLine="480"/>
      </w:pPr>
      <w:r>
        <w:rPr>
          <w:rFonts w:ascii="SimSun" w:hAnsi="SimSun" w:eastAsia="SimSun"/>
        </w:rPr>
        <w:t>因此，立意可以迈向更深刻的进阶：最卓越的社会治理，在于领悟并运用老子所指的“要妙”。它不在于建立一个纯净无垢的“善”的乌托邦，而在于洞悉万物相生相克、福祸相依的辩证法则，从而致力于为每一个成员——无论其当下处于何种状态——创造向善转化的契机与通道。这绝非放弃价值标准或是非判断，而是将判断与批判，从一种居高临下、旨在划清界限的裁决，转化为一种“常善救物”的建设性力量。真正的社会包容，因此不是低标准的静态接纳，而是一种高标准的、动态的信任与投入，它相信“转化”的可能，并愿意为这种可能搭建桥梁。这样的社会，能将“异质”甚至“不善”的存在，从潜在的破坏性能量，转化为推动制度自我检视、文化自我更新的宝贵资源（资），从而实现“无弃物”——不浪费任何人力与社会潜力，在差异与对话中生生不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27.善行无辙迹。善言无瑕谪。善数不用筹策。善闭无关楗而不可开。善结无绳约而不可解。是以圣人常善救人，故无弃人。常善救物，故无弃物。是谓袭明。故善人者不善人之师。不善人者善人之资。不贵其师、不爱其资，虽智大迷，是谓要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