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无为的技艺——后天真的泛滥中守护自发秩序</w:t>
      </w:r>
    </w:p>
    <w:p>
      <w:pPr>
        <w:ind w:firstLine="480"/>
      </w:pPr>
      <w:r>
        <w:rPr>
          <w:rFonts w:ascii="SimSun" w:hAnsi="SimSun" w:eastAsia="SimSun"/>
        </w:rPr>
        <w:t>在现代社会高速运转的齿轮下，从城市规划的宏伟蓝图到个人生活的精密管理，一种“人定胜天”的干预主义思维弥漫于空气之中。我们渴望掌控，追求效率，试图将复杂多变的世界纳入清晰可控的轨道。然而，两千多年前的老子却以其冷峻的智慧，向这种普遍的“天真”投下了一枚深刻的思辨炸弹。他的核心张力在于，</w:t>
      </w:r>
      <w:r>
        <w:rPr>
          <w:rFonts w:ascii="SimSun" w:hAnsi="SimSun" w:eastAsia="SimSun"/>
          <w:b/>
        </w:rPr>
        <w:t>以“不可为”的警示，尖锐地挑战了“强力作为必然导向成功”的流行迷思，并揭示了“为者败之，执者失之”这一看似悖反却直指本质的治理规律</w:t>
      </w:r>
      <w:r>
        <w:rPr>
          <w:rFonts w:ascii="SimSun" w:hAnsi="SimSun" w:eastAsia="SimSun"/>
        </w:rPr>
        <w:t>。老子并非鼓吹消极，而是将“天下”视为一个有其神圣内在秩序与生命力的“神器”，其间的万物“或行或随、或觑或吹”，本就呈现着对立统一的自然样态。因此，真正的智慧（圣人之道）不在于强力的塑造与掌控，而在于“去甚、去奢、去泰”——去除那些极端、过度与僵化的干预，从而为万物依其本性自由舒展、达成动态平衡创造空间。这一思想，如同一剂清醒剂，为我们理解复杂社会、处理多元关系提供了超越时代的哲思框架。</w:t>
      </w:r>
    </w:p>
    <w:p>
      <w:pPr>
        <w:pStyle w:val="Heading3"/>
      </w:pPr>
      <w:r>
        <w:rPr>
          <w:rFonts w:ascii="SimSun" w:hAnsi="SimSun" w:eastAsia="SimSun"/>
        </w:rPr>
        <w:t>母题一：有为与无为：复杂系统下的行动悖论</w:t>
      </w:r>
    </w:p>
    <w:p>
      <w:pPr>
        <w:ind w:firstLine="480"/>
      </w:pPr>
      <w:r>
        <w:rPr>
          <w:rFonts w:ascii="SimSun" w:hAnsi="SimSun" w:eastAsia="SimSun"/>
        </w:rPr>
        <w:t>从互联网经济的野蛮生长到生态系统的微妙平衡，我们日益生活在一个由无数异质个体互动构成的、难以预测的复杂网络之中。老子的“天下神器”正是一个绝佳的古典隐喻，指向这种充满自发秩序与内在规律的复杂自适应系统。在此背景下，“有为”与“无为”的古老命题被赋予了全新的生命。破题的关键在于跳出将“无为”等同于“不作为”的浅见，转而审视行动本身的哲学。当我们将“天下”理解为复杂系统时，那种试图通过详尽规划、强力干预来“取天下而为之”的雄心，往往沦为一种“理性的僭越”。它源于对确定性的迷恋，却忽略了系统自身可能孕育着远超个体设计者想象的、更具活力的解决方案与秩序形态。因此，真正的难题在于：我们的行动，是应成为系统自然演化的粗暴中断者，还是应成为其潜能释放的谨慎促成者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面对一个由多元、动态个体组成的“天下”（如社会、市场或生态系统），我们追求的“治理”或“改变”，究竟是应努力塑造一个统一的“理想模型”，还是应首先保障其内在多样性与自发演化的空间？</w:t>
      </w:r>
      <w:r>
        <w:rPr>
          <w:rFonts w:ascii="SimSun" w:hAnsi="SimSun" w:eastAsia="SimSun"/>
        </w:rPr>
        <w:t xml:space="preserve"> 前者代表了“强为”的逻辑，它假定存在一个最优的、静态的终点，而治理就是动用一切资源将现实拉向这个模型。后者则体现了“无为”的智慧，它承认最优状态可能是系统自身在开放环境中不断调适、涌现的结果，治理者的首要职责是维护产生这种涌现的多样性基础与互动规则。</w:t>
      </w:r>
      <w:r>
        <w:rPr>
          <w:rFonts w:ascii="SimSun" w:hAnsi="SimSun" w:eastAsia="SimSun"/>
          <w:b/>
        </w:rPr>
        <w:t>“强为”往往源于对确定性和控制感的执着，而“无为”则意味着拥抱不确定性与自发秩序。我们如何在追求目标的过程中，避免因过度设计而扼杀系统自身更具活力的可能性？</w:t>
      </w:r>
      <w:r>
        <w:rPr>
          <w:rFonts w:ascii="SimSun" w:hAnsi="SimSun" w:eastAsia="SimSun"/>
        </w:rPr>
        <w:t xml:space="preserve"> 这要求我们反思目标的设定本身：它是否足够开放，能否容纳系统自身演化出的、意想不到的达成路径甚至更好的结果形态？</w:t>
      </w:r>
    </w:p>
    <w:p>
      <w:pPr>
        <w:ind w:firstLine="480"/>
      </w:pPr>
      <w:r>
        <w:rPr>
          <w:rFonts w:ascii="SimSun" w:hAnsi="SimSun" w:eastAsia="SimSun"/>
        </w:rPr>
        <w:t>因此，“无为”绝非行动的取消，而是行动哲学的深刻升维。它要求掌舵者具备一种老子式的“系统谦逊”，清醒认识到个人或单一组织认知的局限性与“天下神器”的自洽性。这种谦逊不是推卸责任，而是将行动的重心从对具体结果的“刚性掌控”，转向对生成条件的“柔性塑造”。正如圣人“去甚、去奢、去泰”，现代治理者的有为，可以体现在移除阻碍创新的过度管制（去甚），克制消耗未来的资源透支（去奢），以及警惕破坏平衡的规模扩张（去泰）。例如，一个健康的创新生态，并非源于政府指定赢家，而在于建立公正的规则、保护知识产权、提供基础科研支持，然后让企业和研究者在竞争中自发生长出突破。这便是“无为而无不为”的现代表达：通过设定基本框架和消除发展障碍，为万千个体的创造力松绑，最终达成系统整体的繁荣与和谐。区分“可为”（创造条件）与“不可为”（强定结果），并在尊重规律的前提下顺势而为，这本身就是一种要求更高洞察力与自制力的、艰巨的“有为”。</w:t>
      </w:r>
    </w:p>
    <w:p>
      <w:pPr>
        <w:pStyle w:val="Heading3"/>
      </w:pPr>
      <w:r>
        <w:rPr>
          <w:rFonts w:ascii="SimSun" w:hAnsi="SimSun" w:eastAsia="SimSun"/>
        </w:rPr>
        <w:t>母题二：统一与多元：宏大叙事下的个体光芒</w:t>
      </w:r>
    </w:p>
    <w:p>
      <w:pPr>
        <w:ind w:firstLine="480"/>
      </w:pPr>
      <w:r>
        <w:rPr>
          <w:rFonts w:ascii="SimSun" w:hAnsi="SimSun" w:eastAsia="SimSun"/>
        </w:rPr>
        <w:t>任何试图涵括“天下”的宏大构想，无论是国家治理、企业文化还是社会运动，都无法回避一个根本性问题：如何处理与无数具体、鲜活且必然存在差异的个体的关系？老子以诗意的笔触描绘了一幅万物并作、参差不齐的图景：“或行或随”（有的前行，有的跟随），“或强或羸”（有的强健，有的羸弱）。这并非有待矫正的缺陷，而是世界本然的面貌。“取天下而为之”的迷思，在现实中常常表现为用单一的价值观、统一的发展节奏或强制的标准化，去规训甚至抹平这种天然的差异性，以期塑造一个看上去整齐划一、易于管理的“强大整体”。这种思维将个体视为实现宏大叙事的工具与螺丝钉，其光芒必须服从于整体设计的亮度。然而，老子的智慧警示我们，这种通过强力达成的“统一”，因其违背了“神器”的内在多样本性，终将导向“败”与“失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一个理想的社会图景，是应该致力于消除差异、打造整齐划一的“强大整体”，还是应该像圣人“去甚”一样，为“或强或羸”的不同个体保留各自发展的生态位，并承认这种差异本身就是整体活力的源泉？</w:t>
      </w:r>
      <w:r>
        <w:rPr>
          <w:rFonts w:ascii="SimSun" w:hAnsi="SimSun" w:eastAsia="SimSun"/>
        </w:rPr>
        <w:t xml:space="preserve"> 前者追求的是机械的同一性，如同将一片热带雨林改造成单一树种的人工林，短期内似乎产量可控，却牺牲了长期的稳定性、抗风险能力和未知价值（如尚未被发现的物种或生态服务）。后者追求的则是有机的和谐，它允许先锋者探索（行），也为稳健者提供空间（随）；它既赞赏强者的开拓，也包容弱者的存在，并理解强弱可能在动态中转化。</w:t>
      </w:r>
      <w:r>
        <w:rPr>
          <w:rFonts w:ascii="SimSun" w:hAnsi="SimSun" w:eastAsia="SimSun"/>
          <w:b/>
        </w:rPr>
        <w:t>当我们强调“统一意志”或“共同目标”时，是否有可能在无意中构成了对“或行或随”（先行者与跟随者）、“或觑或吹”（轻嘘与急吹）等自然节奏与个体选择的压制？如何构建一种既能凝聚共识，又充分尊重个体多样性的秩序？</w:t>
      </w:r>
      <w:r>
        <w:rPr>
          <w:rFonts w:ascii="SimSun" w:hAnsi="SimSun" w:eastAsia="SimSun"/>
        </w:rPr>
        <w:t xml:space="preserve"> 这要求共识本身具有足够的包容性与层次感，能够为不同的实现路径和参与节奏提供合法性。</w:t>
      </w:r>
    </w:p>
    <w:p>
      <w:pPr>
        <w:ind w:firstLine="480"/>
      </w:pPr>
      <w:r>
        <w:rPr>
          <w:rFonts w:ascii="SimSun" w:hAnsi="SimSun" w:eastAsia="SimSun"/>
        </w:rPr>
        <w:t>由此，立意得以进阶：最高层次的“治”，其奥秘不在于建立一个消灭差异的、铁板一块的“同”，而在于构建一个能够容纳、甚至激发差异良性互动的“和”。这种“和”的状态，如同一个繁荣的生态系统，其强大与韧性恰恰来源于物种的多样性及其构成的复杂关系网。单一物种的垄断会导致系统脆弱，而多样化的物种及其差异化的生态位（ niches），却通过竞争、共生、循环构成了动态平衡与持续演化的基础。圣人的“去甚、去奢、去泰”，正是在制度与文化层面，去除那些挤压多样性生存空间的极端标准、过度消耗的单一价值追求以及僵化不变的等级框架。例如，在教育中“去泰”，就是避免用唯一的分数标尺衡量所有学生，而是看到认知风格、发展节奏的差异，为不同类型的人才成长提供土壤。真正的、富有生命力的统一，不是通过外在强力实现的静态一致，而是内在差异在自由、公正的互动中自然达成的动态平衡与共识涌现。老子的“天下神器”之所以神圣不可强为，正是因为这“神器”最精妙的作品，乃是万物依其本性绽放所共同谱写的、永不重复的和谐乐章。守护这份差异性，便是守护了“天下”最根本的生机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29.将欲取天下而为之，吾见其不得已。天下神器，不可为也，为者败之，执者失之。夫物或行或随、或觑或吹、或强或羸、或挫或隳。是以圣人去甚、去奢、去泰。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