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深渊的静默与利器的光芒——在对抗时代重思“微明”的智慧</w:t>
      </w:r>
    </w:p>
    <w:p>
      <w:pPr>
        <w:ind w:firstLine="480"/>
      </w:pPr>
      <w:r>
        <w:rPr>
          <w:rFonts w:ascii="SimSun" w:hAnsi="SimSun" w:eastAsia="SimSun"/>
        </w:rPr>
        <w:t>当今社会，竞争无处不在，我们习惯于以直接、强硬的方式追逐目标，崇尚效率与速胜。然而，两千多年前的老子，却在《道德经》中提供了一幅截然不同的智慧图景：“将欲歙之，必固张之；将欲弱之，必固强之。”这种看似悖谬的“反向操作”，被他称为“微明”，即幽微而澄明的先见。老子的核心思辨张力，在于他彻底挑战了“直线思维”的迷思，揭示了事物发展中对立面相互转化、循环往复的根本规律。他并非在传授阴谋诡计，而是在阐释一种深刻的宇宙观：真正的力量往往隐藏在其反面，而“柔弱胜刚强”的胜利，并非源自对抗的蛮力，而是源于对“道”的顺应与契合。这种智慧，如同一面古镜，映照出我们时代喧嚣之下的另一种可能性——不是以锋芒对抗锋芒，而是在深渊般的静默中涵养不可战胜的生命力。</w:t>
      </w:r>
    </w:p>
    <w:p>
      <w:pPr>
        <w:pStyle w:val="Heading3"/>
      </w:pPr>
      <w:r>
        <w:rPr>
          <w:rFonts w:ascii="SimSun" w:hAnsi="SimSun" w:eastAsia="SimSun"/>
        </w:rPr>
        <w:t>母题一：在规律的棋局中，人是棋手还是棋子？</w:t>
      </w:r>
    </w:p>
    <w:p>
      <w:pPr>
        <w:ind w:firstLine="480"/>
      </w:pPr>
      <w:r>
        <w:rPr>
          <w:rFonts w:ascii="SimSun" w:hAnsi="SimSun" w:eastAsia="SimSun"/>
        </w:rPr>
        <w:t>当我们运用“将欲取之，必固与之”的策略时，很容易将其视为一种高超的人为操控术，仿佛我们是凌驾于规律之上的精明棋手。然而，老子的“微明”智慧，其破题的关键恰恰在于消解这种主客二分的幻觉。它邀请我们思考：我们究竟是“运用”规律，还是“被”规律所运用？这种“以反求正”的策略，其有效性并非源于我们的主观设计有多么巧妙，而是因为它恰好吻合了“物极必反”这一客观的“道”。人的能动性，其最高体现并非创造规律，而是以深刻的谦卑去发现、理解并自觉顺应规律。因此，那份看似主动的“扩张”或“给予”，本质上是对“反者道之动”这一必然趋势的敏锐捕捉与提前布局。真正的主动权，来自于率先承认并进入那“不得不然”的轨道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为达成目标而主动采取“反向操作”时，这究竟是人类主观能动性的高光，还是我们被更宏大的物极必反规律所驱动、不得不为的证明？更进一步，“将欲取之，必固与之”中那份看似慷慨的“予”，是否本身就已是被“取”的欲望所裹挟，从而让我们在策略的起点就已失去了自由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为我们提供了立意进阶的视角：人的伟大，在于能实现“从必然王国向自由王国的飞跃”。这飞跃不是挣脱规律，而是将规律内化为自身行动的自觉。棋手的至高境界，是让自己与棋盘的运势合而为一。他并非在与规律对弈，而是让自己成为规律流畅展现的一部分。这便是“无为而无不为”的深意：不妄为，不强求，只因每一举动都发自对“道”的深刻共鸣。因此，“微明”之智，最终导向的是一种天人合一的境界。在其中，人既是规律的发现者与运用者（棋手），更是规律得以完美呈现的载体（棋子）。这种自觉的“被驱动”，正是最深刻、最自由的能动性，它最终实现的“胜”，是“道”的胜利，而非个人意志对规律的僭越。</w:t>
      </w:r>
    </w:p>
    <w:p>
      <w:pPr>
        <w:pStyle w:val="Heading3"/>
      </w:pPr>
      <w:r>
        <w:rPr>
          <w:rFonts w:ascii="SimSun" w:hAnsi="SimSun" w:eastAsia="SimSun"/>
        </w:rPr>
        <w:t>母题二：“示人”的锋芒与“深渊”的根基：力量该如何安放？</w:t>
      </w:r>
    </w:p>
    <w:p>
      <w:pPr>
        <w:ind w:firstLine="480"/>
      </w:pPr>
      <w:r>
        <w:rPr>
          <w:rFonts w:ascii="SimSun" w:hAnsi="SimSun" w:eastAsia="SimSun"/>
        </w:rPr>
        <w:t>在一个崇尚展示、追求即时影响力的时代，“国之利器不可以示人”的告诫显得格格不入，甚至有些“不合时宜”。社交媒体上，个体争相展露才华与成就；国际舞台上，国家竞相炫耀武力与科技。老子的智慧，在此提供了一个极具张力的破题角度：他将力量区分为两种形态——一种是外显的、用于威慑与消耗的“利器之锋芒”；另一种是内蕴的、提供持续生命力的“深渊之根基”。真正的强大，不在于锋芒有多耀眼，而在于根基有多深厚，并且有智慧将锋芒敛藏，以守护那滋养一切的源头。鱼一旦离开深渊般的水域，展示再优美的泳姿也终将枯死；力量一旦脱离其赖以存在的道（如民心、自然法则、内在德性），便成为无源之流，其炫耀只是加速衰亡的前奏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信息透明、强调展示与说服的世界里，“利器不示人”的古老智慧是否已经过时？隐藏力量是否会错失合作机遇，或在丛林法则中被误判为软弱而招致侵凌？如果“不示人”终究是为了“胜”，那么这种策略性的隐藏，与虚伪或怯懦的界限究竟何在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要超越这一诘问，需进入老子思想的更深处进行立意进阶。“不示人”并非目的，而是手段，其根本目的在于“不脱於渊”——即让力量永远扎根于其生命本源之中。这是一种对力量本质的生态学认知：最具决定性的力量，往往是系统性、生成性的，而非工具性、消耗性的。例如，一个国家的文化凝聚力、制度的韧性、民众的创造力，这些是深不可测的“深渊”，比任何展示出来的航母或导弹都更为根本。示人利器，意味着将力量固化为可被观察、评估乃至针对的静态靶子；而涵养于深渊，则使力量保持流动、生长和不可测度的状态，从而形成最强大的“隐性威慑”。因此，这种“隐藏”绝非消极的退缩，而是最积极的涵养与建设。它划清与虚伪的界限在于：其核心是向内夯实根基，而非向外伪装形象。它的力量感，正来源于那份无需证明、深不可测的从容与自信。</w:t>
      </w:r>
    </w:p>
    <w:p>
      <w:pPr>
        <w:pStyle w:val="Heading3"/>
      </w:pPr>
      <w:r>
        <w:rPr>
          <w:rFonts w:ascii="SimSun" w:hAnsi="SimSun" w:eastAsia="SimSun"/>
        </w:rPr>
        <w:t>母题三：“柔弱”之为用：论一种被误解的终极力量</w:t>
      </w:r>
    </w:p>
    <w:p>
      <w:pPr>
        <w:ind w:firstLine="480"/>
      </w:pPr>
      <w:r>
        <w:rPr>
          <w:rFonts w:ascii="SimSun" w:hAnsi="SimSun" w:eastAsia="SimSun"/>
        </w:rPr>
        <w:t>“柔弱胜刚强”或许是老子思想中最反直觉、最易遭误解的命题。在现代语境下，“柔弱”常与脆弱、无能、被动划上等号，而“刚强”则象征着效率、安全与成功。老子的破题，始于对这两个概念的彻底重释。在他眼中，“柔弱”是水、是风、是婴儿的生命力——它代表的是适应性、韧性、包容性与持久力。而“刚强”则是岩石、是枯木、是锋利的刀刃——它虽然坚固锐利，却因缺乏弹性而易折，因抗拒变化而易朽。“柔弱”之“胜”，并非在正面碰撞中瞬间击垮对方，而是在时间的延展和系统的互动中，通过承受、绕行、渗透、水滴石穿的方式，达成最终的存续与引领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崇尚“快鱼吃慢鱼”、结果导向的激烈竞争中，需要长期涵养、不争一时之先的“柔弱”哲学，其现实价值是否仅限于精神慰藉？当“柔弱”遭遇完全不讲规则、纯粹毁灭性的“刚强”（如暴政或野蛮暴力）时，其“胜”的法则是否会彻底失效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直面这些尖锐的质疑，恰是立意进阶的起点。老子的“柔弱胜刚强”，揭示的是一种超越短期博弈的、历史与生态层面的生存智慧。它提示我们，真正的竞争不仅是主体间的对抗，更是主体与更广阔环境（包括时间、系统、规律）的契合度竞争。刚强之物因其固定的形态与排他的特性，往往与变化的环境产生剧烈摩擦，消耗巨大，最终难以为继。而柔弱之物，以其无定形、善处下的特性，能与环境协同演化，将阻力转化为动力。对于不讲规则的野蛮刚强，柔弱之“胜”可能表现为：其一，在直接对抗中保存有生力量（“活着就是胜利”）；其二，其暴虐本身会加速其系统内部的熵增与崩溃（“强梁者不得其死”）；其三，柔弱所承载的文化与道德韧性，能在暴政覆灭后迅速复苏并填补真空。这正应了“天下之至柔，驰骋天下之至坚”的洞察。它要求我们具备“微明”之眼，看见在当下胜负之外，那由持久性、适应性与生生不息所定义的、更根本的胜利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36.将欲歙之，必固张之。将欲弱之，必固强之。将欲废之，必固兴之。将欲取之，必固与之。是谓微明。柔弱胜刚强。鱼不可脱於渊，国之利器不可以示人。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