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柔韧的征服——无为有为时代的力量与教育沉思</w:t>
      </w:r>
    </w:p>
    <w:p>
      <w:pPr>
        <w:ind w:firstLine="480"/>
      </w:pPr>
      <w:r>
        <w:rPr>
          <w:rFonts w:ascii="SimSun" w:hAnsi="SimSun" w:eastAsia="SimSun"/>
        </w:rPr>
        <w:t>当“内卷”、“奋斗”成为时代强音，以刚猛、效率、显性成果来定义成功与力量，已成为一种集体无意识。我们奋力搏击，却在疲惫中感到意义的虚空；我们大声疾呼，却常常陷入自说自话的孤岛。于此喧嚣之中，回望两千多年前老子“天下之至柔，驰骋天下之至坚”的低语，其思想如一道清冽的溪流，刺穿了我们对世界运作方式的僵化想象。</w:t>
      </w:r>
      <w:r>
        <w:rPr>
          <w:rFonts w:ascii="SimSun" w:hAnsi="SimSun" w:eastAsia="SimSun"/>
          <w:b/>
        </w:rPr>
        <w:t>老子思想的思辨张力与核心悖论在于：他颠覆性地挑战了我们对“力量”、“行动”与“教化”的流行认知，将世俗眼中的“弱”重构为根本的“强”，将“无为”阐释为最高明的“为”，将“不言”论证为最深刻的“教”。</w:t>
      </w:r>
      <w:r>
        <w:rPr>
          <w:rFonts w:ascii="SimSun" w:hAnsi="SimSun" w:eastAsia="SimSun"/>
        </w:rPr>
        <w:t xml:space="preserve"> 他揭示，“道”的运行并非通过对抗与强制，而是通过如水般的柔韧、顺应与渗透，以看似“负面”的形态，成就着最持久、最和谐的积极效果。下文将从力量的悖论、行动的智慧与教化的本质三个维度，尝试打开这份古老智慧的现代启示。</w:t>
      </w:r>
    </w:p>
    <w:p>
      <w:pPr>
        <w:pStyle w:val="Heading3"/>
      </w:pPr>
      <w:r>
        <w:rPr>
          <w:rFonts w:ascii="SimSun" w:hAnsi="SimSun" w:eastAsia="SimSun"/>
        </w:rPr>
        <w:t>母题一：力量的悖论：重思“柔弱”与“刚强”</w:t>
      </w:r>
    </w:p>
    <w:p>
      <w:pPr>
        <w:ind w:firstLine="480"/>
      </w:pPr>
      <w:r>
        <w:rPr>
          <w:rFonts w:ascii="SimSun" w:hAnsi="SimSun" w:eastAsia="SimSun"/>
        </w:rPr>
        <w:t>老子以“驰骋”与“入”两个充满主动意味的动词，彻底改写了“柔弱”的被动形象。“天下之至柔”并非虚弱无力，而是如水般能避高趋下、因势赋形，于无形中穿透最坚硬的磐石。这启发我们，必须对“力量”的本质进行一场哲学重构。现代人崇拜的力量，常体现为征服的意志、刚性的规则与可见的支配。然而，这种“刚强”之力往往在对抗中自我损耗，如同利剑终会卷刃。老子指引我们看到的，是一种更为深邃的力量范式——它不来自外在的坚硬与碰撞，而源于内在的适应性与渗透力。如同空气弥散于每个角落，无人能拒；又如根系以最柔软的姿态，却能裂石分土。真正的强大，是一种“系统兼容性”和“环境融入力”，它通过顺应事物的内在纹理，以最低的能耗实现最大的影响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在社会普遍崇尚进取、效率与可见成果的“功绩社会”中，“柔弱不争”何以不仅不是退却，反而可能成为一种更具韧性、更可持续的“高级力量”？</w:t>
      </w:r>
      <w:r>
        <w:rPr>
          <w:rFonts w:ascii="SimSun" w:hAnsi="SimSun" w:eastAsia="SimSun"/>
        </w:rPr>
        <w:t xml:space="preserve"> 当所有人都朝着同一座山峰冲锋时，“不争”或许意味着洞察到另一条更幽静却同样通往云端的路径，或是在山谷中培育一片生生不息的森林。</w:t>
      </w:r>
      <w:r>
        <w:rPr>
          <w:rFonts w:ascii="SimSun" w:hAnsi="SimSun" w:eastAsia="SimSun"/>
          <w:b/>
        </w:rPr>
        <w:t>面对具体的困境与冲突，我们如何辨识并实践“以柔化之”的智慧，而非陷入“以硬碰硬”的即时反应，最终两败俱伤？</w:t>
      </w:r>
      <w:r>
        <w:rPr>
          <w:rFonts w:ascii="SimSun" w:hAnsi="SimSun" w:eastAsia="SimSun"/>
        </w:rPr>
        <w:t xml:space="preserve"> 这要求我们具备一种战略耐心，能区分何时需要坚守原则的“刚”，何时需要迂回化解的“柔”。</w:t>
      </w:r>
    </w:p>
    <w:p>
      <w:pPr>
        <w:ind w:firstLine="480"/>
      </w:pPr>
      <w:r>
        <w:rPr>
          <w:rFonts w:ascii="SimSun" w:hAnsi="SimSun" w:eastAsia="SimSun"/>
        </w:rPr>
        <w:t>真正的强大，其核心不在于消灭对手，而在于获得一种不被任何对立面所伤害或限制的“柔韧性”与“渗透性”。人生的智慧，恰在于在这两种力量形态间做动态的平衡。刚性的框架如河床，划定边界与方向；柔性的水流如势能，承载万物，奔流不息。正如老子所言：“上善若水，水善利万物而不争。”最高级的力量形态，正是这种“善利万物”的生成性力量。它不通过对抗来彰显自我，而是在默默的滋养与顺应中，无形地塑造环境、化解阻力，最终实现“无为而无不为”——没有强制性的作为，却达成了无所不成的效果。这要求我们从“征服者”的心态，转向“生成者”与“维系者”的智慧。</w:t>
      </w:r>
    </w:p>
    <w:p>
      <w:pPr>
        <w:pStyle w:val="Heading3"/>
      </w:pPr>
      <w:r>
        <w:rPr>
          <w:rFonts w:ascii="SimSun" w:hAnsi="SimSun" w:eastAsia="SimSun"/>
        </w:rPr>
        <w:t>母题二：行动的智慧：在“有为”时代探寻“无为”的价值</w:t>
      </w:r>
    </w:p>
    <w:p>
      <w:pPr>
        <w:ind w:firstLine="480"/>
      </w:pPr>
      <w:r>
        <w:rPr>
          <w:rFonts w:ascii="SimSun" w:hAnsi="SimSun" w:eastAsia="SimSun"/>
        </w:rPr>
        <w:t>“吾是以知无为之有益”，老子此语常被误解为鼓吹懒散与逃避。实则，“无为”之智，是对一种“过度有为”或“妄为”文明的深刻诊断与矫正。在“行动主义”席卷一切的今天，从个人的日程表精确到分钟，到社会工程对自然与人性的大规模干预，我们似乎坚信，更多的“作为”必然带来更多的进步。然而，老子提醒我们反思：我们是否在用喧嚣的“有为”，干扰甚至扼杀了事物本然生长的节奏与生机？“无为”的破题关键，在于审视“行动的目的与方式”。它并非不行动，而是主张一种“减损人为干预，尊重自然规律”的行动哲学，其精髓在于“不妄为”、“不强为”。正如农夫深知，耕种是有为，但尊重作物生长规律、不拔苗助长，则是更深层的“无为”之智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在个人成长（如教育焦虑）与社会发展（如急于求成的政策）中，我们如何划清积极进取的“有为”与违背规律、事与愿违的“妄为”之间的界限？</w:t>
      </w:r>
      <w:r>
        <w:rPr>
          <w:rFonts w:ascii="SimSun" w:hAnsi="SimSun" w:eastAsia="SimSun"/>
        </w:rPr>
        <w:t xml:space="preserve"> 前者是顺着事物本性的助推，后者则是逆着事物本性的扭曲。</w:t>
      </w:r>
      <w:r>
        <w:rPr>
          <w:rFonts w:ascii="SimSun" w:hAnsi="SimSun" w:eastAsia="SimSun"/>
          <w:b/>
        </w:rPr>
        <w:t>进而，老子的“无为”所倡导顺应的“自然规律”，在复杂的人类社会系统中，究竟指涉什么？是冰冷的丛林法则，还是事物内在的、趋向和谐与平衡的“道”？我们如何辨识它，而不至于将“无为”偷换为消极避责的借口？</w:t>
      </w:r>
      <w:r>
        <w:rPr>
          <w:rFonts w:ascii="SimSun" w:hAnsi="SimSun" w:eastAsia="SimSun"/>
        </w:rPr>
        <w:t xml:space="preserve"> 这要求我们具备深刻的洞察力，去区分什么是真正的规律，什么是我们主观的臆想与欲望。</w:t>
      </w:r>
    </w:p>
    <w:p>
      <w:pPr>
        <w:ind w:firstLine="480"/>
      </w:pPr>
      <w:r>
        <w:rPr>
          <w:rFonts w:ascii="SimSun" w:hAnsi="SimSun" w:eastAsia="SimSun"/>
        </w:rPr>
        <w:t>“无为”的深层智慧，高度依赖于对“时机”与“限度”的精准把握。它要求行动者具备“道”的全局视野，能看清事件发展的内在脉络与关键节点，从而做到“动善时”。这种作为，就像高明的舵手，并非时刻猛打方向盘，而是在大部分时间里顺应水流与风向，只在必要的关头施以精准而轻微的调整。真正的努力，是创造让事物按其内在逻辑自然成熟的条件，而非越俎代庖。它最终导向的是一种“自组织”的和谐状态，如同老子描绘的治理理想：“我无为而民自化，我好静而民自正。”在个人层面，这意味着分清哪些是可控的努力，哪些是必须交付给时间与过程的等待；在社会层面，这意味着构建良好的规则与生态，激发个体与群体的内生动力，而非事无巨细的管控。无为，是以“不为”的姿态，达成最高效、最根本的“为”。</w:t>
      </w:r>
    </w:p>
    <w:p>
      <w:pPr>
        <w:pStyle w:val="Heading3"/>
      </w:pPr>
      <w:r>
        <w:rPr>
          <w:rFonts w:ascii="SimSun" w:hAnsi="SimSun" w:eastAsia="SimSun"/>
        </w:rPr>
        <w:t>母题三：教化的本质：“不言之教”何以深入人心？</w:t>
      </w:r>
    </w:p>
    <w:p>
      <w:pPr>
        <w:ind w:firstLine="480"/>
      </w:pPr>
      <w:r>
        <w:rPr>
          <w:rFonts w:ascii="SimSun" w:hAnsi="SimSun" w:eastAsia="SimSun"/>
        </w:rPr>
        <w:t>老子将“不言之教”与“无为之益”并提，且感慨其境界“天下希及之”，这直接将矛头指向了教化的核心矛盾：言语的灌输与生命的感化，究竟何者更具根本性的力量？在信息过载、话语喧嚣的当代，各种教导、规训、口号不绝于耳，但人心的距离并未因此拉近，价值的认同反而愈加困难。老子的智慧提示我们，最深刻的教化，其力量恰恰不在声量的大小与言辞的华美，而在于“润物细无声”的熏陶与榜样的默示。真正的教育或影响，不是单向度的填充，而是一种氛围的营造、一种行为的示范、一种价值的“场域”的生成。它超越言语的局限，直抵心灵，在无言中完成最彻底的沟通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在一个人人都是传播者、观点激烈碰撞的后真相时代，“不言之教”所依赖的沉静、身教与氛围营造，面临着被淹没的严峻挑战。然而，这是否恰恰反证了其价值的稀缺与珍贵？</w:t>
      </w:r>
      <w:r>
        <w:rPr>
          <w:rFonts w:ascii="SimSun" w:hAnsi="SimSun" w:eastAsia="SimSun"/>
        </w:rPr>
        <w:t xml:space="preserve"> 当言语的可信度因泛滥而贬值时，真诚的践行与具身化的品格是否成了更具说服力的“货币”？</w:t>
      </w:r>
      <w:r>
        <w:rPr>
          <w:rFonts w:ascii="SimSun" w:hAnsi="SimSun" w:eastAsia="SimSun"/>
          <w:b/>
        </w:rPr>
        <w:t>对于领导者、教师、父母这些天然的影响者而言，是穷尽心力完善一套逻辑严密、技巧高超的“说服系统”更重要，还是回归自身，致力于修养人格、以身作则，让自己活成一个值得追随的“榜样”更重要？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“不言之教”的至高境界，是施教者自身首先成为“道”的载体与彰显。这意味着教育者的重心，必须从外在的“我该如何教导你”的控制与设计，转向内在的“我应成为什么样的人”的修养与澄明。当教育者自身持守中正、言行合一、心怀慈悲时，其存在本身就如光吸引飞蛾，无需多言，便已形成强大的感召力。这正是“桃李不言，下自成蹊”的奥秘——桃树和李树不会开口招呼，但它们甜美的果实与繁茂的花叶，自然吸引了人们，以至树下被走出一条小路。卓越的品格、切实的创造、真诚的关怀，这些“不言”之实，会自内而外地散发影响力，完成那些最精妙的言语也难以达成的价值传递与生命点燃。因此，“不言之教”不仅是教育的艺术，更是一种成己达人的生命哲学，它要求我们在喧嚣中保持内省的静默，以自身的完善作为对世界最有力的言说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43.天下之至柔，驰骋天下之至坚。无有入无间，吾是以知无为之有益。不言之教，无为之益天下希及之。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