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生成力与反占有：破解现代社会的控制迷思</w:t>
      </w:r>
    </w:p>
    <w:p>
      <w:pPr>
        <w:ind w:firstLine="480"/>
      </w:pPr>
      <w:r>
        <w:rPr>
          <w:rFonts w:ascii="SimSun" w:hAnsi="SimSun" w:eastAsia="SimSun"/>
        </w:rPr>
        <w:t>在效率至上、规划先行的现代社会，我们习惯将“有为”——即积极的干预、精密的控制与明确的所有——视为实现目标的唯一路径。从教育的“填鸭”到管理的“KPI”，从个人对人生的严苛规划到社会对秩序的强力设计，无处不在的“控制”背后，是对不确定性的深深恐惧与对“占有”成果的执着渴望。然而，两千多年前的老子，却在《道德经》中提出了一个石破天惊的逆向智慧：</w:t>
      </w:r>
      <w:r>
        <w:rPr>
          <w:rFonts w:ascii="SimSun" w:hAnsi="SimSun" w:eastAsia="SimSun"/>
          <w:b/>
        </w:rPr>
        <w:t>最高的生成力与最深的秩序，恰恰源于“无为”，源于“生而不有，为而不恃，长而不宰”的“玄德”</w:t>
      </w:r>
      <w:r>
        <w:rPr>
          <w:rFonts w:ascii="SimSun" w:hAnsi="SimSun" w:eastAsia="SimSun"/>
        </w:rPr>
        <w:t>。老子的核心思辨张力在于，他彻底挑战了“干预即负责”、“占有即成功”的流行观念，揭示了一个深刻的悖论：</w:t>
      </w:r>
      <w:r>
        <w:rPr>
          <w:rFonts w:ascii="SimSun" w:hAnsi="SimSun" w:eastAsia="SimSun"/>
          <w:b/>
        </w:rPr>
        <w:t>那看似无所作为、放弃主宰的“道”与“德”，反而是万物生成、繁荣与和谐的终极根源</w:t>
      </w:r>
      <w:r>
        <w:rPr>
          <w:rFonts w:ascii="SimSun" w:hAnsi="SimSun" w:eastAsia="SimSun"/>
        </w:rPr>
        <w:t>。其思想并非鼓吹消极避世，而是指向一种更为深邃的“作为”境界——一种以尊重内在规律、信任自发力量为前提的赋能与守护。本文将通过两个关键母题，探寻老子“无为生成力”的智慧，如何照亮我们今日关于培育与秩序的迷思。</w:t>
      </w:r>
    </w:p>
    <w:p>
      <w:pPr>
        <w:pStyle w:val="Heading3"/>
      </w:pPr>
      <w:r>
        <w:rPr>
          <w:rFonts w:ascii="SimSun" w:hAnsi="SimSun" w:eastAsia="SimSun"/>
        </w:rPr>
        <w:t>母题一：无为之为：培育的真谛在于赋能还是规训？</w:t>
      </w:r>
    </w:p>
    <w:p>
      <w:pPr>
        <w:ind w:firstLine="480"/>
      </w:pPr>
      <w:r>
        <w:rPr>
          <w:rFonts w:ascii="SimSun" w:hAnsi="SimSun" w:eastAsia="SimSun"/>
        </w:rPr>
        <w:t>当我们将“培育”理解为一种需要呈现具体成果的责任时，它便极易滑入“规训”的轨道。现代教育追求标准答案，企业管理强调绝对服从，亲子关系陷入“为你设计人生”的窊臼，其底层逻辑都是通过外在的、强力的塑造与控制，来获取确定性的、可被“占有”的成果。然而，老子描绘的“玄德”图景，为我们提供了另一种可能：“道”生成万物（“生之”），“德”滋养万物（“畜之、长之育之”），它们提供了最根本的源头与最丰沛的养分，却全然没有“这是我的作品，必须按我的意志发展”的占有心态（“生而不有”），也不充当决定万物命运的主宰（“长而不宰”）。破题的关键在于认识到，</w:t>
      </w:r>
      <w:r>
        <w:rPr>
          <w:rFonts w:ascii="SimSun" w:hAnsi="SimSun" w:eastAsia="SimSun"/>
          <w:b/>
        </w:rPr>
        <w:t>“无为”并非不作为，而是将作为的重心，从对外在形态的强制塑造，转向对内在生长环境的营造与生命本然潜能的信任。</w:t>
      </w:r>
      <w:r>
        <w:rPr>
          <w:rFonts w:ascii="SimSun" w:hAnsi="SimSun" w:eastAsia="SimSun"/>
        </w:rPr>
        <w:t xml:space="preserve"> 真正的培育，是如阳光雨露般提供不可或缺的条件，同时将舒展枝叶、绽放花朵的权利完全交还给树木自身。</w:t>
      </w:r>
    </w:p>
    <w:p>
      <w:pPr>
        <w:ind w:firstLine="480"/>
      </w:pPr>
      <w:r>
        <w:rPr>
          <w:rFonts w:ascii="SimSun" w:hAnsi="SimSun" w:eastAsia="SimSun"/>
        </w:rPr>
      </w:r>
      <w:r>
        <w:rPr>
          <w:rFonts w:ascii="SimSun" w:hAnsi="SimSun" w:eastAsia="SimSun"/>
          <w:b/>
        </w:rPr>
        <w:t>在强调规划与效率的当下，放任对象“自然发展”是否意味着失职与逃避责任？又或者，“生而不有”的培育观，如何应对我们根深蒂固的对成果的占有欲和对过程不确定性的本能恐惧？</w:t>
      </w:r>
      <w:r>
        <w:rPr>
          <w:rFonts w:ascii="SimSun" w:hAnsi="SimSun" w:eastAsia="SimSun"/>
        </w:rPr>
      </w:r>
    </w:p>
    <w:p>
      <w:pPr>
        <w:ind w:firstLine="480"/>
      </w:pPr>
      <w:r>
        <w:rPr>
          <w:rFonts w:ascii="SimSun" w:hAnsi="SimSun" w:eastAsia="SimSun"/>
        </w:rPr>
        <w:t>前者混淆了“放任自流”与“创造自由生长的条件”。老子的“自然”并非撒手不管，而是“莫之命”——不强行命令。这要求培育者进行更深刻、更复杂的“为”：即洞察并遵循对象内在的“道”（规律），提供与之匹配的“德”（养分与环境）。这非但不是失职，反而是更高级的责任——对生命独特性与自主性的责任。对于后者的占有欲与恐惧，老子的智慧则是一种根本性的祛魅。当我们执着于“占有”培育的成果（如孩子的名校录取、项目的完美数据），我们就将自己与对象捆绑在了一种紧张的控制关系里，最终可能扼杀其真正的生命力与创造力。立意进阶在于领悟，</w:t>
      </w:r>
      <w:r>
        <w:rPr>
          <w:rFonts w:ascii="SimSun" w:hAnsi="SimSun" w:eastAsia="SimSun"/>
          <w:b/>
        </w:rPr>
        <w:t>最高境界的培育者，其“尊贵”恰如“道之尊，德之贵”，不来自控制的权威，而源于成全的功德。</w:t>
      </w:r>
      <w:r>
        <w:rPr>
          <w:rFonts w:ascii="SimSun" w:hAnsi="SimSun" w:eastAsia="SimSun"/>
        </w:rPr>
        <w:t xml:space="preserve"> 他们从“主宰者”的神坛走下，成为“赋能者”与“守护者”，致力于构建一个安全、丰饶、允许试错的“生态”，然后退后一步，静观内在生命力的蓬勃涌现。这份“为而不恃”的谦逊，这份“功成而弗居”的洒脱，方能成就真正独立、健全且富有创新精神的个体与组织。这不仅是方法论的转变，更是心性修为的跃升——克服控制的幻觉，在“为”与“不为”的辩证张力中，抵达“玄德”的深远境界。</w:t>
      </w:r>
    </w:p>
    <w:p>
      <w:pPr>
        <w:pStyle w:val="Heading3"/>
      </w:pPr>
      <w:r>
        <w:rPr>
          <w:rFonts w:ascii="SimSun" w:hAnsi="SimSun" w:eastAsia="SimSun"/>
        </w:rPr>
        <w:t>母题二：秩序之源：社会运行应崇尚自发还是依赖设计？</w:t>
      </w:r>
    </w:p>
    <w:p>
      <w:pPr>
        <w:ind w:firstLine="480"/>
      </w:pPr>
      <w:r>
        <w:rPr>
          <w:rFonts w:ascii="SimSun" w:hAnsi="SimSun" w:eastAsia="SimSun"/>
        </w:rPr>
        <w:t>人类文明史，从某种角度看，是一部不断以理性设计秩序、以权力维系秩序的历史。我们深信，良好的社会需要缜密的律法、强大的执行机构与清晰的顶层设计，即通过“有为”的“命令”（“命”）来构建和谐。老子思想在此处提出了根本性质疑。他指出，宇宙万物最根本的秩序状态，是“尊道而贵德”，而这份尊贵，是“夫莫之命而常自然”——没有谁的命令，而是万物在“道”的生成与“德”的滋养中，自发地、内在地趋向和谐。这揭示了一个颠覆性的洞见：</w:t>
      </w:r>
      <w:r>
        <w:rPr>
          <w:rFonts w:ascii="SimSun" w:hAnsi="SimSun" w:eastAsia="SimSun"/>
          <w:b/>
        </w:rPr>
        <w:t>最稳固、最充满活力的秩序，可能并非源于外部强加的精密设计，而是源于内部要素在基本规则下的自发性协同与演化。</w:t>
      </w:r>
      <w:r>
        <w:rPr>
          <w:rFonts w:ascii="SimSun" w:hAnsi="SimSun" w:eastAsia="SimSun"/>
        </w:rPr>
        <w:t xml:space="preserve"> 社会运行的思辨张力由此凸显：我们是将社会视为一个需要被工程师精心设计和操控的机器，还是将其看作一个在基本法则护佑下能够自我调节、自我生长的有机生命体？</w:t>
      </w:r>
    </w:p>
    <w:p>
      <w:pPr>
        <w:ind w:firstLine="480"/>
      </w:pPr>
      <w:r>
        <w:rPr>
          <w:rFonts w:ascii="SimSun" w:hAnsi="SimSun" w:eastAsia="SimSun"/>
        </w:rPr>
      </w:r>
      <w:r>
        <w:rPr>
          <w:rFonts w:ascii="SimSun" w:hAnsi="SimSun" w:eastAsia="SimSun"/>
          <w:b/>
        </w:rPr>
        <w:t>在复杂多变的社会系统中，依赖“自然和谐”是否是一种否定人类理性价值的幼稚幻想，最终只会导致“丛林法则”的混乱？另一方面，人类理性的“设计”与规划，如何在效法“道”的无为时，避免陷入要么过度干预窒息活力、要么推诿放任酿成失序的极端？</w:t>
      </w:r>
      <w:r>
        <w:rPr>
          <w:rFonts w:ascii="SimSun" w:hAnsi="SimSun" w:eastAsia="SimSun"/>
        </w:rPr>
      </w:r>
    </w:p>
    <w:p>
      <w:pPr>
        <w:ind w:firstLine="480"/>
      </w:pPr>
      <w:r>
        <w:rPr>
          <w:rFonts w:ascii="SimSun" w:hAnsi="SimSun" w:eastAsia="SimSun"/>
        </w:rPr>
        <w:t>首先，老子的“自然和谐”绝非弱肉强食的“自然状态”，其前提是万物皆尊崇共同的、生养它们的“道”与“德”。类比于社会，这意味着对基本正义法则（“法道”）的普遍认同与对公共善（“贵德”）的共同培育。在此基础上的“自然”，是多样性与自发协作的动态平衡，而非混乱。其次，理性设计的关键不在于取代自发秩序，而在于如何“法道”——即设计出最接近“道”的特性的基础规则框架：它应当像“道”一样，生养万物（保障公民基本权利、提供发展机会）却“不有”、“不宰”（避免权力过度扩张、干预社会微观运行）。立意进阶在于，我们应追求一种“有设计地促进自发”的智慧治理。</w:t>
      </w:r>
      <w:r>
        <w:rPr>
          <w:rFonts w:ascii="SimSun" w:hAnsi="SimSun" w:eastAsia="SimSun"/>
          <w:b/>
        </w:rPr>
        <w:t>最高的治理艺术，是“执一以为天下牧”的“无为”——即牢牢持守那个生成、滋养万物的根本法则（“一”），然后让万民（万物）在公平、清明的环境下“自化”、“自富”。</w:t>
      </w:r>
      <w:r>
        <w:rPr>
          <w:rFonts w:ascii="SimSun" w:hAnsi="SimSun" w:eastAsia="SimSun"/>
        </w:rPr>
        <w:t xml:space="preserve"> 这样的社会秩序，其力量不依赖于中央控制塔的强力指挥，而源于每个细胞（个体与社群）的活力迸发与有机联结。它要求设计者拥有“生而不有”的胸襟，将繁荣的荣耀归于社会自身；要求制度具备“长而不宰”的弹性，为自发创新留出广阔空间。这为我们反思当代社会治理，提供了一条超越“全能政府”与“无政府”两极的、充满生机与韧性的中间道路。</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51.道生之，德畜之，物形之，势成之。是以万物莫不尊道，而贵德。道之尊，德之贵，夫莫之命而常自然。故道生之，德畜之。长之育之。亭之毒之。养之覆之。生而不有，为而不恃，长而不宰。是谓玄德。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