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SimSun" w:hAnsi="SimSun" w:eastAsia="SimSun"/>
        </w:rPr>
        <w:t>止的艺术：在过度作为的时代养护秩序与活力</w:t>
      </w:r>
    </w:p>
    <w:p>
      <w:pPr>
        <w:ind w:firstLine="480"/>
      </w:pPr>
      <w:r>
        <w:rPr>
          <w:rFonts w:ascii="SimSun" w:hAnsi="SimSun" w:eastAsia="SimSun"/>
        </w:rPr>
        <w:t>在崇尚干预、迷恋规划的时代，“有为”似乎成为解决一切问题的默认答案。无论是宏大的社会治理，还是微小的个体成长，我们总倾向于相信更多、更强、更快的“作为”才能导向理想结果。然而，老子“治大国若烹小鲜”的古老箴言，犹如一剂清凉散，直指这种“有为”崇拜的迷思。其思想的核心思辨张力在于，它挑战了“积极干预即有效”的流行观念，揭示了一个深刻的悖论：</w:t>
      </w:r>
      <w:r>
        <w:rPr>
          <w:rFonts w:ascii="SimSun" w:hAnsi="SimSun" w:eastAsia="SimSun"/>
          <w:b/>
        </w:rPr>
        <w:t>过度的“为”恰恰是最大的“伤”，而一种审慎的“不为”或“少为”，才能导向“两不相伤”的真正和谐与繁荣。</w:t>
      </w:r>
      <w:r>
        <w:rPr>
          <w:rFonts w:ascii="SimSun" w:hAnsi="SimSun" w:eastAsia="SimSun"/>
        </w:rPr>
        <w:t xml:space="preserve"> “以道莅天下”并非消极放任，而是一种更为高级的主动——顺应万物自化的内在节律，通过权力的自我节制，为生命与社会创造自主生发的空间。本文将循着这一智慧，探讨其在现代治理与个人成长两大母题中的深远回响。</w:t>
      </w:r>
    </w:p>
    <w:p>
      <w:pPr>
        <w:pStyle w:val="Heading3"/>
      </w:pPr>
      <w:r>
        <w:rPr>
          <w:rFonts w:ascii="SimSun" w:hAnsi="SimSun" w:eastAsia="SimSun"/>
        </w:rPr>
        <w:t>母题一：治理的边界与智慧——“为”与“不为”的辩证</w:t>
      </w:r>
    </w:p>
    <w:p>
      <w:pPr>
        <w:ind w:firstLine="480"/>
      </w:pPr>
      <w:r>
        <w:rPr>
          <w:rFonts w:ascii="SimSun" w:hAnsi="SimSun" w:eastAsia="SimSun"/>
        </w:rPr>
        <w:t>将“烹小鲜”的智慧置于现代治理的显微镜下，其破题的关键在于重新理解“权力”的本质与“秩序”的源泉。现代治理常陷入一种全能主义的幻觉，试图以精密的政策与频繁的干预来设计和塑造社会生活的每一个细节，这恰如过度翻动锅中小鱼，初衷或许是均匀受热，结果却是支离破碎。老子启示我们，治理的核心在于“不伤”，其智慧在于对权力边界的清醒认知。真正的治理者，应如一位深谙生态学的园丁，他的首要任务不是拔苗助长，而是辨识并守护系统内在的平衡法则。这要求精准区分两种“为”：一是必须坚定“有为”的领域，即建立和维护公正、透明的底线规则，如同为烹饪设定合适的火候与锅具，这是防止系统陷入混沌的基础框架；二是必须敬畏“不为”的领域，即尊重社会自组织、市场自发秩序、文化自然演化的内生动力，这是系统保持活力与创新的生命源泉。智慧在于在这两者间找到那个动态的、微妙的平衡点，使“干预”成为对生态的养护而非破坏。</w:t>
      </w:r>
    </w:p>
    <w:p>
      <w:pPr>
        <w:ind w:firstLine="480"/>
      </w:pPr>
      <w:r>
        <w:rPr>
          <w:rFonts w:ascii="SimSun" w:hAnsi="SimSun" w:eastAsia="SimSun"/>
        </w:rPr>
      </w:r>
      <w:r>
        <w:rPr>
          <w:rFonts w:ascii="SimSun" w:hAnsi="SimSun" w:eastAsia="SimSun"/>
          <w:b/>
        </w:rPr>
        <w:t>在社会治理中，当“无为而治”可能面临短期的失序或阵痛时，我们应以何种价值尺度来判断，这是系统必要的自我调适，还是必须介入的危机时刻？又如何能确信，当下的“不干预”是在为长远的“德交归焉”积蓄力量？</w:t>
      </w:r>
      <w:r>
        <w:rPr>
          <w:rFonts w:ascii="SimSun" w:hAnsi="SimSun" w:eastAsia="SimSun"/>
        </w:rPr>
        <w:t xml:space="preserve"> 另一方面，“鬼神不伤人”与“圣人不伤人”的并举，揭示了和谐秩序是一种“共谋”的结果，它既要求治理者克制权力的傲慢，也要求社会成员（包括其暗面）认同并遵循基本的“不伤害”共识。</w:t>
      </w:r>
      <w:r>
        <w:rPr>
          <w:rFonts w:ascii="SimSun" w:hAnsi="SimSun" w:eastAsia="SimSun"/>
          <w:b/>
        </w:rPr>
        <w:t>那么，这种珍贵的“互不伤害”的公共理性，其根基究竟在于冷峻客观的制度约束，还是在于治理者与民众共同的精神修养与道德自觉？</w:t>
      </w:r>
      <w:r>
        <w:rPr>
          <w:rFonts w:ascii="SimSun" w:hAnsi="SimSun" w:eastAsia="SimSun"/>
        </w:rPr>
      </w:r>
    </w:p>
    <w:p>
      <w:pPr>
        <w:ind w:firstLine="480"/>
      </w:pPr>
      <w:r>
        <w:rPr>
          <w:rFonts w:ascii="SimSun" w:hAnsi="SimSun" w:eastAsia="SimSun"/>
        </w:rPr>
        <w:t>老子的智慧引导我们进入一个更深刻的立意：最高明的治理，其伟大不在于亲手缔造了多少壮观的景象，而在于通过“不妄为”，守护并激发了一个共同体自我成长、自我修复的“涌现”能力。这要求治理者完成从“前台设计师”到“后台守护者”的角色转变。他的“有为”，体现在搭建一个允许百花齐放的舞台，制定一套保证公平竞争的规则，然后退到幕后，信任社会自身无穷的创造力。如同“治大国若烹小鲜”所隐喻的，火候恰到好处的“无为”，是为了让食材（社会要素）本身的鲜美（活力）得以充分释放。最终，当治理者与民众“两不相伤”，各安其位、各尽其能时，一种源于内在的、深厚的“德”（生命力与凝聚力）便会自然交融汇聚，这才是最稳固、最充满生机的太平盛世。</w:t>
      </w:r>
    </w:p>
    <w:p>
      <w:pPr>
        <w:pStyle w:val="Heading3"/>
      </w:pPr>
      <w:r>
        <w:rPr>
          <w:rFonts w:ascii="SimSun" w:hAnsi="SimSun" w:eastAsia="SimSun"/>
        </w:rPr>
        <w:t>母题二：成长的节奏与艺术——“规划”与“生长”的协奏</w:t>
      </w:r>
    </w:p>
    <w:p>
      <w:pPr>
        <w:ind w:firstLine="480"/>
      </w:pPr>
      <w:r>
        <w:rPr>
          <w:rFonts w:ascii="SimSun" w:hAnsi="SimSun" w:eastAsia="SimSun"/>
        </w:rPr>
        <w:t>将“烹小鲜”的哲理从庙堂之高，引入生命成长的幽微之境，我们面对的是一种普遍的现代性焦虑：对成长过程的“过度规划”与“强加意志”。从胎教到“鸡娃”，从精细到分钟的人生蓝图到填鸭式的知识灌输，我们仿佛害怕任何一点“留白”和“自主”会让孩子落后于一场想象中的竞赛。这无异于将成长视为一件亟待塑形的陶土，而非一颗内含完整生命图谱的种子。老子智慧在此的破题点在于，它呼吁我们尊重生命内在的“道”——那个独特的生长节律、天赋秉性与精神胚胎。真正的教育或自我成长，如同掌握火候的烹饪，需要的是提供稳定而适宜的环境（爱、安全、营养），然后耐心等待，避免因焦虑而“频繁翻动”。这种“翻动”，无论是拔苗助长的期待，还是横加干涉的指导，都在破坏生命自然舒展的完整性，可能导致内在动力的枯竭与自我的迷失。</w:t>
      </w:r>
    </w:p>
    <w:p>
      <w:pPr>
        <w:ind w:firstLine="480"/>
      </w:pPr>
      <w:r>
        <w:rPr>
          <w:rFonts w:ascii="SimSun" w:hAnsi="SimSun" w:eastAsia="SimSun"/>
        </w:rPr>
      </w:r>
      <w:r>
        <w:rPr>
          <w:rFonts w:ascii="SimSun" w:hAnsi="SimSun" w:eastAsia="SimSun"/>
          <w:b/>
        </w:rPr>
        <w:t>在“内卷”成为集体潜意识的今天，当周遭充斥着“不停翻动小鱼”的喧嚣与示范，个体或教育者如何能具备“让子弹飞一会儿”的定力与勇气？这种基于信任的“不干预”，在功利主义的时间尺度下，极易被误解为“不负责任”或“效率低下”，我们又如何与之共处并坚持？</w:t>
      </w:r>
      <w:r>
        <w:rPr>
          <w:rFonts w:ascii="SimSun" w:hAnsi="SimSun" w:eastAsia="SimSun"/>
        </w:rPr>
        <w:t xml:space="preserve"> 进一步，“两不相伤”在成长语境下，描绘了一幅引导者与成长主体良性互动的理想图景。</w:t>
      </w:r>
      <w:r>
        <w:rPr>
          <w:rFonts w:ascii="SimSun" w:hAnsi="SimSun" w:eastAsia="SimSun"/>
          <w:b/>
        </w:rPr>
        <w:t>那么，这条介于“强加伤害”与“放任不管”之间的窄路究竟何在？我们如何在避免以爱为名施加控制的同时，又不推卸必要的引导、陪伴与设定边界之责？</w:t>
      </w:r>
      <w:r>
        <w:rPr>
          <w:rFonts w:ascii="SimSun" w:hAnsi="SimSun" w:eastAsia="SimSun"/>
        </w:rPr>
      </w:r>
    </w:p>
    <w:p>
      <w:pPr>
        <w:ind w:firstLine="480"/>
      </w:pPr>
      <w:r>
        <w:rPr>
          <w:rFonts w:ascii="SimSun" w:hAnsi="SimSun" w:eastAsia="SimSun"/>
        </w:rPr>
        <w:t>立意由此得以升华：最深刻的培养艺术，是努力成为一片肥沃、包容的“土壤”，而非一个执着于精准控制的“雕塑家”。土壤的责任不是决定玫瑰还是松树长得更好，而是提供养分、水分和稳固的根基，同时相信每一颗种子都内蕴着成就独特自我的全部密码。父母、师长或自我内在的引导者，其角色应是“园丁式”的：观察每一株植物的天性，在它需要时提供支撑，修剪可能阻碍其向阳生长的芜杂枝桠（如不良习惯、扭曲观念），但绝不改变其作为桃树或李树的根本属性。这需要一种根本性的谦逊：承认我们并非生命的创造者，而是其成长过程的见证者与协作者。通过这种“生长性陪伴”，通过我们审慎的“不为”，我们实质是为生命内在向上、向善的力量扫清了障碍，腾出了呼吸与试错的空间。最终，当引导者的“不伤”与成长主体的“自在”相遇，便会达成一种“德交归焉”的状态——生命因其自主绽放而充盈饱满，关系因充满尊重与信任而深厚温暖。</w:t>
      </w:r>
    </w:p>
    <w:p>
      <w:pPr>
        <w:ind w:firstLine="480"/>
      </w:pPr>
      <w:r>
        <w:rPr>
          <w:rFonts w:ascii="SimSun" w:hAnsi="SimSun" w:eastAsia="SimSun"/>
        </w:rPr>
        <w:t>---</w:t>
      </w:r>
    </w:p>
    <w:p>
      <w:pPr>
        <w:ind w:firstLine="480"/>
      </w:pPr>
      <w:r>
        <w:rPr>
          <w:rFonts w:ascii="SimSun" w:hAnsi="SimSun" w:eastAsia="SimSun"/>
        </w:rPr>
      </w:r>
      <w:r>
        <w:rPr>
          <w:rFonts w:ascii="SimSun" w:hAnsi="SimSun" w:eastAsia="SimSun"/>
          <w:b/>
        </w:rPr>
        <w:t>参考资料</w:t>
      </w:r>
      <w:r>
        <w:rPr>
          <w:rFonts w:ascii="SimSun" w:hAnsi="SimSun" w:eastAsia="SimSun"/>
        </w:rPr>
        <w:t>：</w:t>
      </w:r>
    </w:p>
    <w:p>
      <w:pPr>
        <w:pStyle w:val="ListBullet"/>
      </w:pPr>
      <w:r>
        <w:rPr>
          <w:rFonts w:ascii="SimSun" w:hAnsi="SimSun" w:eastAsia="SimSun"/>
        </w:rPr>
        <w:t>《道德经》 (老子) : 60.治大国若烹小鲜。以道莅天下，其迨ㄞ哄非其鬼不神，其神不伤人。非其神不伤人，圣人亦不伤人。夫两不相伤，故德交归焉。</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