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于无声处听惊雷——“治于未乱”的现代启示</w:t>
      </w:r>
    </w:p>
    <w:p>
      <w:pPr>
        <w:ind w:firstLine="480"/>
      </w:pPr>
      <w:r>
        <w:rPr>
          <w:rFonts w:ascii="SimSun" w:hAnsi="SimSun" w:eastAsia="SimSun"/>
        </w:rPr>
        <w:t>在当代社会，从公共卫生事件、金融系统风险到生态危机，我们似乎总在重复“亡羊补牢”的循环——当问题显山露水、甚嚣尘上时，才倾注巨大资源进行补救，结果往往事倍功半，甚至积重难返。面对这一普遍困境，老子在数千年前提出的“治于未乱”的古老智慧，如同一剂清醒剂，揭示了从被动反应转向主动塑造的根本路径。然而，老子思想的核心张力与深邃之处，恰恰在于它并非一套简单的“早期干预”技术手册。他在倡导“为之於未有，治之於未乱”的预见性行动的同时，又警示“为者败之，执者失之”，并最终归于“以辅万物之自然而不敢为”。这种辩证统一挑战了现代人“有为即积极，无为即消极”的线性思维，揭示了一种更高明的智慧：</w:t>
      </w:r>
      <w:r>
        <w:rPr>
          <w:rFonts w:ascii="SimSun" w:hAnsi="SimSun" w:eastAsia="SimSun"/>
          <w:b/>
        </w:rPr>
        <w:t>真正的治理，不在于强势的操控，而在于对事物发展“自然”规律的深刻洞察与顺势引导，在最恰当的时机，以最合“道”的方式，介入那尚未成形之“乱”</w:t>
      </w:r>
      <w:r>
        <w:rPr>
          <w:rFonts w:ascii="SimSun" w:hAnsi="SimSun" w:eastAsia="SimSun"/>
        </w:rPr>
        <w:t>。这不仅是一种方法论，更是一种世界观，为我们理解个人成长、社会行动与文明走向，提供了穿越时空的思辨坐标。</w:t>
      </w:r>
    </w:p>
    <w:p>
      <w:pPr>
        <w:pStyle w:val="Heading3"/>
      </w:pPr>
      <w:r>
        <w:rPr>
          <w:rFonts w:ascii="SimSun" w:hAnsi="SimSun" w:eastAsia="SimSun"/>
        </w:rPr>
        <w:t>母题一：慎终如始与防微杜渐——个人修身的内在防线</w:t>
      </w:r>
    </w:p>
    <w:p>
      <w:pPr>
        <w:ind w:firstLine="480"/>
      </w:pPr>
      <w:r>
        <w:rPr>
          <w:rFonts w:ascii="SimSun" w:hAnsi="SimSun" w:eastAsia="SimSun"/>
        </w:rPr>
        <w:t>将老子“治于未乱”的宏大智慧聚焦于个体生命的成长，其核心便从应对外部风险，转向守护内在秩序的“未乱”。这里的“乱”，并非惊天动地的变故，而是初心在时间长河中的悄然褪色，是意志在安逸温床上的细微松懈，是价值判断在信息洪流中的无声偏移。“其脆易泮，其微易散”，正是指向这些内心最柔软、最隐蔽的失序萌芽。个人修身的“治未乱”，因此是一种持续不断的、内向的觉察与校准，它要求我们像守护初燃的烛火一样，警惕任何可能使其摇曳的微风。这不是一次性完成的任务，而是将每一个“此刻”——无论是成功的顶峰还是平淡的日常——都视为需要重新守护的起点，从而构建一种动态的、坚韧的内在平衡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当一个人功成名就、步入安稳，对他而言，最大的挑战是开创新的功业，还是防止在既有成就的温床上滋生傲慢与怠惰，从而颠覆一切？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个问题指向“慎终如始”的深层悖论：开创固然需要勇气，但在路径依赖和舒适区的引力下，维持开创时的那份警醒与纯粹，或许是更隐蔽、也更艰难的修行。前者是向外征服，后者是向内的、无休止的自我革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在物欲横流的时代，我们“防”的究竟是看得见的失败与危机，还是人性中那趋向散逸、贪婪，最终导致价值迷失的“自然”倾向？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这迫使我们将“防微杜渐”的审视目光，从具体行为后果回溯到行为动机与心灵状态本身。真正的“乱”，往往先发于价值观的微小裂痕。</w:t>
      </w:r>
    </w:p>
    <w:p>
      <w:pPr>
        <w:ind w:firstLine="480"/>
      </w:pPr>
      <w:r>
        <w:rPr>
          <w:rFonts w:ascii="SimSun" w:hAnsi="SimSun" w:eastAsia="SimSun"/>
        </w:rPr>
        <w:t>因此，“慎终如始”绝非对起点状态的机械重复，而是对“治未乱”智慧在时间纵深上的精神性升华。它意味着个体需具备一种“永恒的当下感”，将每一次微小的动摇、每一次内心的妥协，都视作需要全力应对的“未乱”之机。其最高境界，是培养一种内在的“免疫系统”，能够在欲望的苗头（“其微”）刚刚萌动时，便以初心的清澈之光将其照亮、化解（“易散”）。老子“欲不欲”的教诲在此熠熠生辉——个人修身的终极防线，在于将“克制无度欲望、守护心灵宁静”本身，确立为最根本、最主动的欲望。这便是个体生命对“合抱之木生于毫末”规律的逆向运用：不是放任微小的恶习长成难以撼动的人格缺陷，而是精心培育每一个善念的“毫末”，使其汇聚成支撑生命高度的“合抱之木”。如此，人便从被惰性牵引的客体，转变为自身命运的清醒塑造者。</w:t>
      </w:r>
    </w:p>
    <w:p>
      <w:pPr>
        <w:pStyle w:val="Heading3"/>
      </w:pPr>
      <w:r>
        <w:rPr>
          <w:rFonts w:ascii="SimSun" w:hAnsi="SimSun" w:eastAsia="SimSun"/>
        </w:rPr>
        <w:t>母题二：“敢为”与“不敢为”——驾驭规律的智慧分野</w:t>
      </w:r>
    </w:p>
    <w:p>
      <w:pPr>
        <w:ind w:firstLine="480"/>
      </w:pPr>
      <w:r>
        <w:rPr>
          <w:rFonts w:ascii="SimSun" w:hAnsi="SimSun" w:eastAsia="SimSun"/>
        </w:rPr>
        <w:t>老子思想的深邃与张力，在“为”与“不为”的辩证中体现得最为淋漓尽致。他既强调“为之於未有”的预见与行动，又断言“为者败之”，最终导向“不敢为”。这并非矛盾，而是划定了两种“为”的本质区别：一种是基于深刻洞察规律、顺势引导的“辅自然”之为；另一种则是罔顾规律、强施人力的“妄为”。破题的关键，在于精准把握那条微妙的边界：如何判断眼前的“萌芽”是应被呵护的未来生机，还是终将被天道淘汰的冗余？如何在“治未乱”的正当名义下，避免因过度干预而扼杀事物自身演化的多样性与可能性？这要求行动者拥有穿透表象、直抵本质的洞察力，分清什么是真正需要被“谋”的“未兆”，什么又是应被放任的“自然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在技术爆炸与社会快速迭代的今天，一项基于长远风险预警的法规或伦理约束（如对人工智能的早期规训），应被视为高瞻远瞩的“治未乱”，还是阻碍创新的“逆势而为”？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一提问尖锐地指向预见性行动的合法性困境。判断的标准，或许不在于干预本身的早晚，而在于其是否建立在对其技术与社会发展“自然”（内在逻辑与长远影响）的真切敬畏与理解之上，是“辅”其向善，还是“逆”其本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如果我们承认生态系统的复杂性与自组织能力，那么，人类以“保护”为名对自然进行的各种规划与管理，在多大程度上是必要的“为之於未有”，在多大程度上又是一种傲慢的“执者失之”？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这迫使我们反思人类中心主义的行动逻辑，将“不敢为”的谦逊，重新纳入“治理”的范畴。</w:t>
      </w:r>
    </w:p>
    <w:p>
      <w:pPr>
        <w:ind w:firstLine="480"/>
      </w:pPr>
      <w:r>
        <w:rPr>
          <w:rFonts w:ascii="SimSun" w:hAnsi="SimSun" w:eastAsia="SimSun"/>
        </w:rPr>
        <w:t>因此，老子的智慧启示我们，最高明的“治于未乱”，其本质是“学不学”——学习那常人所忽视、事物深处的根本法则与演化节奏。它要求决策者像园丁而非木匠：园丁深谙植物生长的“自然”（需要阳光、水土、时间），他的工作是清除杂草、改良土壤、适时修剪，即“辅万物之自然”，而不会强行将玫瑰扭曲成松柏的形状。在社会领域，这意味着构建公平的规则、畅通的渠道、健康的文化氛围（累土），让个体的创造力与社会的善意（毫末）能自然生长为文明的“九层之台”。反之，若以“治乱”为名，强行规定人们只能思考什么、如何成功，那便是“执者失之”的妄为，本身就成了最大的“乱”源。故曰，“不敢为”是洞悉规律后的一种战略定力，是拒绝用短期、粗暴的“有为”去破坏长期、有机的“自然”进程。这便是驾驭规律的终极智慧：在“为”与“不为”之间，做出最合乎“道”的抉择。</w:t>
      </w:r>
    </w:p>
    <w:p>
      <w:pPr>
        <w:pStyle w:val="Heading3"/>
      </w:pPr>
      <w:r>
        <w:rPr>
          <w:rFonts w:ascii="SimSun" w:hAnsi="SimSun" w:eastAsia="SimSun"/>
        </w:rPr>
        <w:t>母题三：预见性与价值引领——社会治理中的“圣人之欲”</w:t>
      </w:r>
    </w:p>
    <w:p>
      <w:pPr>
        <w:ind w:firstLine="480"/>
      </w:pPr>
      <w:r>
        <w:rPr>
          <w:rFonts w:ascii="SimSun" w:hAnsi="SimSun" w:eastAsia="SimSun"/>
        </w:rPr>
        <w:t>将“治于未乱”的视野从具体事务管理，提升至文明肌体的精神与价值层面，我们触及了老子思想中最具超越性的部分：“圣人欲不欲，不贵难得之货”。一个社会最深刻、最顽固的“乱”，往往并非起于资源或技术的匮乏，而是源于集体欲望的失序与价值罗盘的失灵。当整个社会风尚开始“贵难得之货”——盲目崇拜稀缺的财富、虚浮的名声、速成的成功——时，攀比、焦虑、内耗与不公的种子便已悄然播下。因此，最高层级的“治未乱”，是在这种价值偏向尚未形成汹涌浪潮、尚处于“未兆”之时，便进行预见性的引导与塑造。这不再是技术性的“谋”与“散”，而是文化性的“欲”与“贵”的重塑，是从源头上为社会心灵“谋”一个健康、丰盈且可持续的未来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在物质已相对丰裕的后工业时代，对一个社会而言，更迫切的“未乱”是经济增长的放缓，还是意义感的普遍丧失、共同体的精神涣散以及是非善恶界限的模糊？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这一追问将社会治理的重心，从GDP数字拉回到人心秩序与文化生态的构建。后者虽无形，却是一切社会有形运行的深层操作系统，其“乱”与“治”，影响更为根本和长远。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当消费主义与流量逻辑无孔不入地定义着“成功”与“幸福”时，倡导“知足”、“守静”、“见素抱朴”的古典智慧，是一种不合时宜的迂阔，还是针对时代精神“未乱”之兆的一剂清醒解药？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这考验着一个文明是否具备反思与自我调校的能力，能否在时代的喧嚣中，守护那些使文明得以延续的永恒价值。</w:t>
      </w:r>
    </w:p>
    <w:p>
      <w:pPr>
        <w:ind w:firstLine="480"/>
      </w:pPr>
      <w:r>
        <w:rPr>
          <w:rFonts w:ascii="SimSun" w:hAnsi="SimSun" w:eastAsia="SimSun"/>
        </w:rPr>
        <w:t>故而，“圣人之欲”是一种示范性的价值立法。圣人“欲不欲”，并非消灭欲望，而是将社会的集体欲望导向对内在和谐、社会公正、万物共生的追求，而非对“难得之货”的无限竞逐。这种引领，是在社会价值尚未被彻底物化、功利化之前（“未乱”）进行的“复众人之所过”——提前预防并纠正可能发生的普遍性迷失。它启示现代社会治理，除了经济增长、科技发展这些硬指标，必须同等重视</w:t>
      </w:r>
      <w:r>
        <w:rPr>
          <w:rFonts w:ascii="SimSun" w:hAnsi="SimSun" w:eastAsia="SimSun"/>
          <w:b/>
        </w:rPr>
        <w:t>文化培育、德行教化与意义供给</w:t>
      </w:r>
      <w:r>
        <w:rPr>
          <w:rFonts w:ascii="SimSun" w:hAnsi="SimSun" w:eastAsia="SimSun"/>
        </w:rPr>
        <w:t>这些软环境的建设。如同为“千里之行”确立正确的方向与稳健的心性，这比纠结于每一步的快慢更为根本。例如，在教育中淡化单一的分数竞争，鼓励对知识本身的热爱与对人格完善的追求；在公共舆论中褒扬诚信、互助与创造，而非仅仅崇拜财富与名声——这些都是在社会心态“其安易持”时所做的价值奠基。唯有如此，社会才能在面对风浪时，拥有源自共同价值认同的凝聚力与韧性，这才是最深谋远虑的“治之於未乱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64.其安易持，其未兆易谋。其脆易泮，其微易散。为之於未有，治之於未乱。合抱之木生於毫末。九层之台起於累土。千里之行始於足下。为者败之，执者失之。是以圣人无为故无败，无执故无失。民之从事常於几成而败之。慎终如始则无败事。是以圣人欲不欲，不贵难得之货。学不学，复众人之所过，以辅万物之自然而不敢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