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无为的技艺：在复杂时代守护生成的智慧</w:t>
      </w:r>
    </w:p>
    <w:p>
      <w:pPr>
        <w:ind w:firstLine="480"/>
      </w:pPr>
      <w:r>
        <w:rPr>
          <w:rFonts w:ascii="SimSun" w:hAnsi="SimSun" w:eastAsia="SimSun"/>
        </w:rPr>
        <w:t>在现代社会，无论是个人成长的焦虑规划，还是社会治理的精密调控，我们似乎习惯于一种“强作为”的范式：以清晰的意志预设目标，以强力的干预掌控进程。然而，过度设计与强行干预的后果——生态危机、社会内卷、创新乏力——让我们不禁反思，是否遗忘了另一种智慧？老子于两千年前提出的“以辅万物之自然而不敢为”，正提供了深刻的解药。其思想的深邃思辨性在于，它表面上呈现了一种“无为”与“辅助”的张力，实则挑战了以人类意志为中心、强调征服与掌控的主流思维，揭示了真正的“大作为”恰恰在于对规律的敬畏与顺应。这并非消极的退缩，而是要求一种更高阶的能动性：在事物“其未兆易谋”的萌芽期便悉心呵护，在众人“贵难得之货”的潮流中保持清醒，最终成为万物自然生发的守护者与辅助者。下文将依托这一核心智慧，探讨其在个人行动、思想引领与社会治理中的现代启示。</w:t>
      </w:r>
    </w:p>
    <w:p>
      <w:pPr>
        <w:pStyle w:val="Heading3"/>
      </w:pPr>
      <w:r>
        <w:rPr>
          <w:rFonts w:ascii="SimSun" w:hAnsi="SimSun" w:eastAsia="SimSun"/>
        </w:rPr>
        <w:t>母题一：“辅”与“为”：于“无为”处见真功</w:t>
      </w:r>
    </w:p>
    <w:p>
      <w:pPr>
        <w:ind w:firstLine="480"/>
      </w:pPr>
      <w:r>
        <w:rPr>
          <w:rFonts w:ascii="SimSun" w:hAnsi="SimSun" w:eastAsia="SimSun"/>
        </w:rPr>
        <w:t>破题的关键在于彻底澄清“无为”的迷思。在老子哲学中，“无为”绝非躺平与不作为，其对立面是违背规律的“妄为”与固执己见的“强执”。真正的功业，始于对“合抱之木生于毫末”这一生成规律的洞察。因此，智慧的行动者，其首要任务不是去“创造”一个结果，而是去“发现”并“维护”事物内在的成长逻辑。这种“辅助”体现在“为之于未有，治之于未乱”的先见之明中——它不是等到问题如山时才挥动斧凿，而是在风起于青萍之末时，便以微妙的、近乎无形的方式调整环境，移除障碍，如同为幼苗松土、为溪流疏浚。这其中的精妙思辨在于，“辅助”本身即是一种精细的、高度自觉的“为”，其界限取决于是否尊重并顺应了对象自身的“自然”（本性、规律）。园丁的伟大不在于发明花的形状，而在于提供适宜的土壤、光照与水分，然后静待花开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当社会问题已然凸显，秉持“不敢为”的敬畏，是否等同于一种道德上的失职与逃避？</w:t>
      </w:r>
      <w:r>
        <w:rPr>
          <w:rFonts w:ascii="SimSun" w:hAnsi="SimSun" w:eastAsia="SimSun"/>
        </w:rPr>
        <w:t xml:space="preserve"> 这触及了“作为”的责任伦理与“无为”的智慧边界之间的冲突。另一个追问是：</w:t>
      </w:r>
      <w:r>
        <w:rPr>
          <w:rFonts w:ascii="SimSun" w:hAnsi="SimSun" w:eastAsia="SimSun"/>
          <w:b/>
        </w:rPr>
        <w:t>如果我们承认“辅助”需要主动创造生长条件，那么这种主动性的边界在哪里，如何确保它不会滑向另一种形式的“干预”与“设计”？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要求我们超越“无为”与“有为”的二元对立，抵达“不妄为”与“善辅助”的辩证统一。这要求行动者具备一种“视角的转换”：从以自我意志为中心的“主体-客体”操控模式，转向以万物本性为依归的“守护-陪伴”模式。其核心能力不是强力的执行，而是深邃的洞察与谦卑的耐心。“慎终如始则无败事”的金句，在此获得全新解读：成功并非源于终点冲刺的强力，而在于从始至终对过程本身节奏与规律的忠实呵护。无论是教育中尊重孩子的天性禀赋，还是商业中培育健康的组织生态，最高明的“为”，往往是那些看似背景化、却为自然生发提供了最佳环境的“辅助之功”。这正是一种“于无声处听惊雷”的真功。</w:t>
      </w:r>
    </w:p>
    <w:p>
      <w:pPr>
        <w:pStyle w:val="Heading3"/>
      </w:pPr>
      <w:r>
        <w:rPr>
          <w:rFonts w:ascii="SimSun" w:hAnsi="SimSun" w:eastAsia="SimSun"/>
        </w:rPr>
        <w:t>母题二：“学不学”与“复众过”：在流俗中的独立与引领</w:t>
      </w:r>
    </w:p>
    <w:p>
      <w:pPr>
        <w:ind w:firstLine="480"/>
      </w:pPr>
      <w:r>
        <w:rPr>
          <w:rFonts w:ascii="SimSun" w:hAnsi="SimSun" w:eastAsia="SimSun"/>
        </w:rPr>
        <w:t>老子笔下的圣人形象呈现出一种深刻的“反向性”：他“欲不欲”（追求常人不追求的），“学不学”（学习常人不学的），目的在于“复众人之所过”。这揭示了一个引领者的悖论：真正的先知先觉者，其判断与路径常与时代潮流相悖。这种“反向”并非为叛逆而叛逆，其根源在于对“道”——即根本规律——的体认，使之能够识别出集体性狂奔可能导致的“过错”。当众人皆“贵难得之货”，追逐稀缺以彰显价值时，圣人看到的是物欲对朴素本心的扰乱；当众人热衷于某种显学或潮流（“众人之学”）时，圣人警惕的是知识沦为功利工具或集体无意识的偏执。因此，“学不学”是一种对流行知识体系的反思性超越，是对认知源头的回溯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在信息过载、算法推荐加固“信息茧房”的当下，我们如何辨别一种蔚然成风的“众人之学”，究竟是文明进步的阶梯，还是集体无意识构筑的认知陷阱？</w:t>
      </w:r>
      <w:r>
        <w:rPr>
          <w:rFonts w:ascii="SimSun" w:hAnsi="SimSun" w:eastAsia="SimSun"/>
        </w:rPr>
        <w:t xml:space="preserve"> 这要求我们具备老子的反思精神。进一步思考：</w:t>
      </w:r>
      <w:r>
        <w:rPr>
          <w:rFonts w:ascii="SimSun" w:hAnsi="SimSun" w:eastAsia="SimSun"/>
          <w:b/>
        </w:rPr>
        <w:t>圣人“欲不欲”的超越姿态，固然避免了寻常纷争，但这是否也可能导致其过于超然，从而削弱了其“辅助”现实世界的有效性与温度？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在于认识到，“学不学”并非否定学习，而是倡导一种“元学习”——学习如何学习，洞察知识背后的欲望结构与权力关系。圣人的“反向”，实则是拨开迷雾、回归事物“自然”本真的“正向”。他的独立，不是离群索居的孤傲，而是一种更深沉的责任与介入：以自身的清醒，作为纠正集体航向的“压舱石”。这种引领不是挥舞旗帜走在最前，而是在众人可能冲向悬崖时，成为那个冷静的提醒者与另辟蹊径的铺路人。在当代，这意味着在技术乐观主义浪潮中思考伦理边界，在消费主义狂欢中倡导简约生活，在流量至上的喧嚣中坚守内容深度——这些“反向”努力，正是“复众人之所过”，辅助社会精神生态恢复“自然”平衡的现代实践。</w:t>
      </w:r>
    </w:p>
    <w:p>
      <w:pPr>
        <w:pStyle w:val="Heading3"/>
      </w:pPr>
      <w:r>
        <w:rPr>
          <w:rFonts w:ascii="SimSun" w:hAnsi="SimSun" w:eastAsia="SimSun"/>
        </w:rPr>
        <w:t>母题三：治理的智慧：“干预”的边界与“自治”的生发</w:t>
      </w:r>
    </w:p>
    <w:p>
      <w:pPr>
        <w:ind w:firstLine="480"/>
      </w:pPr>
      <w:r>
        <w:rPr>
          <w:rFonts w:ascii="SimSun" w:hAnsi="SimSun" w:eastAsia="SimSun"/>
        </w:rPr>
        <w:t>将“辅万物之自然”的哲理应用于宏观的社会治理，便直指现代国家能力的核心争议。“为者败之，执者失之”如同一记警钟，告诫任何试图以强力意志完全规划社会、操控结果的努力，都可能因忽视社会的复杂性而遭遇失败。老子的治理理想，接近于培育一个有机的生命体，而非建造一台精密的机器。治理者的核心职责，是像培育“合抱之木”一样，尊重社会内在的自我组织、自我调节与自我修复能力（即社会的“自然”）。其智慧体现在“为之于未有，治之于未乱”——这并非事无巨细的管控，而是通过奠基性的制度设计、普遍性的规则确立和文化氛围的营造，塑造一个能够激发善治、抑制恶行的初始环境与良性框架。当微小问题显现（“其微易散”）时，应以精准、谦抑的方式进行疏导，而非取代社会自身的协商与抉择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强调“不妄为”和“辅助自治”，是否会为治理者的怠惰或对不公现象的漠视提供哲学借口？如何在尊重社会“自然”生发与履行匡扶正义、保障底线的必要干预之间划出界限？</w:t>
      </w:r>
      <w:r>
        <w:rPr>
          <w:rFonts w:ascii="SimSun" w:hAnsi="SimSun" w:eastAsia="SimSun"/>
        </w:rPr>
        <w:t xml:space="preserve"> 另一方面，</w:t>
      </w:r>
      <w:r>
        <w:rPr>
          <w:rFonts w:ascii="SimSun" w:hAnsi="SimSun" w:eastAsia="SimSun"/>
          <w:b/>
        </w:rPr>
        <w:t>“治之于未乱”所依赖的预见性，本身具有主观性，这是否可能导向一种“预防性国家”的过度干预，以“防患未然”之名，提前扼杀了社会在试错中学习、在冲突中创新的宝贵“自然”过程？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指向一种“生态型治理”的范式。最高明的治理，其目标不是实现一个静态、完美的终极蓝图，而是培育一个具有韧性、能够动态演进的“社会治理生态”。这要求治理者怀有“不敢为”的敬畏之心，承认自身认知的有限性与社会系统的复杂性，从而将角色从亲力亲为的“划桨者”和事无巨细的“设计师”，转变为设定公平规则、维护基础秩序、提供基本公共品的“掌舵者”与“园丁”。其成功不在于令行禁止的短期效能，而在于能否最大限度地激发每个个体、社群与市场主体的内在活力与创造力，使他们在遵循基本“道”（如法律、道德底线）的前提下，自发地、多样化地朝着繁荣与和谐的方向“自然”演进。这种“辅助式”治理，追求的正是“无败无失”的长治久安，其秘诀在于让社会自身生长出强大的生命力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64.其安易持，其未兆易谋。其脆易泮，其微易散。为之於未有，治之於未乱。合抱之木生於毫末。九层之台起於累土。千里之行始於足下。为者败之，执者失之。是以圣人无为故无败，无执故无失。民之从事常於几成而败之。慎终如始则无败事。是以圣人欲不欲，不贵难得之货。学不学，复众人之所过，以辅万物之自然而不敢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