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“不争之争”的引力场——论当代社会的反脆弱领导力</w:t>
      </w:r>
    </w:p>
    <w:p>
      <w:pPr>
        <w:ind w:firstLine="480"/>
      </w:pPr>
      <w:r>
        <w:rPr>
          <w:rFonts w:ascii="SimSun" w:hAnsi="SimSun" w:eastAsia="SimSun"/>
        </w:rPr>
        <w:t>在崇尚“内卷”与“力争上游”的当代社会，个体的焦虑与组织的内耗似乎成为一种常态。当我们执着于在零和博弈中“赢”时，一种古老的东方智慧提供了深刻的解方：老子在《道德经》中提出的“不争之争”哲学。其核心思辨张力在于，它彻底挑战了“力量源于对抗与征服”的流行迷思，揭示了一个看似悖论的深刻真理：</w:t>
      </w:r>
      <w:r>
        <w:rPr>
          <w:rFonts w:ascii="SimSun" w:hAnsi="SimSun" w:eastAsia="SimSun"/>
          <w:b/>
        </w:rPr>
        <w:t>最高的成就与最稳固的地位，恰恰源于“不争”的姿态与“处下”的智慧。</w:t>
      </w:r>
      <w:r>
        <w:rPr>
          <w:rFonts w:ascii="SimSun" w:hAnsi="SimSun" w:eastAsia="SimSun"/>
        </w:rPr>
        <w:t xml:space="preserve"> 正如江海因善于居下而能汇聚百川，圣人通过言辞谦下、将自身利益置于人民之后，反而能赢得“天下乐推而不厌”的拥戴，达到“以其不争，故天下莫能与之争”的境界。这并非消极的退避，而是一种通过消解对抗、重塑关系来构建无可撼动优势的顶级战略。本文将以此为核心，探讨这一思想在当代竞争哲学与个体修养中的穿透性启示。</w:t>
      </w:r>
    </w:p>
    <w:p>
      <w:pPr>
        <w:pStyle w:val="Heading3"/>
      </w:pPr>
      <w:r>
        <w:rPr>
          <w:rFonts w:ascii="SimSun" w:hAnsi="SimSun" w:eastAsia="SimSun"/>
        </w:rPr>
        <w:t>母题一：竞争哲学的悖论：以“不争”成就“无敌”</w:t>
      </w:r>
    </w:p>
    <w:p>
      <w:pPr>
        <w:ind w:firstLine="480"/>
      </w:pPr>
      <w:r>
        <w:rPr>
          <w:rFonts w:ascii="SimSun" w:hAnsi="SimSun" w:eastAsia="SimSun"/>
        </w:rPr>
        <w:t>在“丛林法则”被奉为圭臬的商业与社会领域，竞争往往被简化为你死我活的资源争夺战。老子的“不争”智慧在此提供了极具颠覆性的破题角度：真正的“无敌”，并非来自将对手逐一击倒，而是来自根本性地“超越”竞争，消解掉“被挑战”的土壤。其本质是将竞争从“战术层面的短兵相接”，升维至“战略层面的系统构建”。试想，一个科技公司的领导者若只知与同行比拼参数、打价格战，终究困于红海；而若如“江海”般“善下”，主动开放生态、赋能合作伙伴，将自身利益置于行业共同繁荣之后，便能吸引无数开发者与用户如“百川”般汇聚，构建一个以自己为枢纽的繁荣生态。此时，任何挑战者要对抗的便不再是孤立的公司，而是整个生态系统的既得利益者与依赖者，自然“莫能与之争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在资源有限、竞争激烈的现代社会，道家倡导的“不争”是迂腐的逃避，还是一种更高明的竞争策略？</w:t>
      </w:r>
      <w:r>
        <w:rPr>
          <w:rFonts w:ascii="SimSun" w:hAnsi="SimSun" w:eastAsia="SimSun"/>
        </w:rPr>
        <w:t xml:space="preserve"> 这个问题直指现代人对“竞争”概念的窄化理解。如果“争”仅意味着在同一维度上与可见的对手抢夺存量，那么“不争”看似是放弃。然而，老子的智慧恰恰在于“升维”：它引导我们跳出存量厮杀的层面，去创造增量、定义新的游戏规则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当个人或集体追求卓越与领先时，“不争”的谦下姿态，是否可能错失关键机遇，导致在“争”的层面落后？</w:t>
      </w:r>
      <w:r>
        <w:rPr>
          <w:rFonts w:ascii="SimSun" w:hAnsi="SimSun" w:eastAsia="SimSun"/>
        </w:rPr>
        <w:t xml:space="preserve"> 这触及了行动时机的焦虑。关键在于理解“不争”并非不作为，而是“为”的方向与姿态不同——它“争”的是人心、是系统、是可持续发展的根基，而非一时一地的表面胜负。</w:t>
      </w:r>
    </w:p>
    <w:p>
      <w:pPr>
        <w:ind w:firstLine="480"/>
      </w:pPr>
      <w:r>
        <w:rPr>
          <w:rFonts w:ascii="SimSun" w:hAnsi="SimSun" w:eastAsia="SimSun"/>
        </w:rPr>
        <w:t>立意进阶需看到，“不争之争”的终极形态，是使自己成为一种“基础设施”或“引力中心”。它的目标不是打败某个对手，而是让竞争本身变得无关紧要，甚至不可能发生。这要求主体具备深远的格局与利他的价值创造能力。正如金句所言：“以其不争，故天下莫能与之争。”一个通过谦下服务而赢得普遍信任的领导者，其权威根植于人心所向，任何试图挑战的行为都会因失去道义支持而自动失效。在商业中，这体现为构建平台标准；在团队中，这体现为成为不可或缺的协调者与价值赋能者。因此，最高级的“争”，是让自己变得如此有价值且无可替代，以至于任何“争”对你而言都失去了意义——你已立于“不争”的生态位，自然无敌。</w:t>
      </w:r>
    </w:p>
    <w:p>
      <w:pPr>
        <w:pStyle w:val="Heading3"/>
      </w:pPr>
      <w:r>
        <w:rPr>
          <w:rFonts w:ascii="SimSun" w:hAnsi="SimSun" w:eastAsia="SimSun"/>
        </w:rPr>
        <w:t>母题二：谦下品格的当代价值：是修养，更是智慧</w:t>
      </w:r>
    </w:p>
    <w:p>
      <w:pPr>
        <w:ind w:firstLine="480"/>
      </w:pPr>
      <w:r>
        <w:rPr>
          <w:rFonts w:ascii="SimSun" w:hAnsi="SimSun" w:eastAsia="SimSun"/>
        </w:rPr>
        <w:t>在一个鼓励自我营销、争夺注意力的时代，“谦下”常被误解为缺乏自信或能力不足。然而，老子“欲上民，必以言下之；欲先民，必以身后之”的论断，揭示了“居下”与“居上”之间深刻的辩证法则。破题的关键在于认识到，这种“谦下”并非目的论的终点，而是方法论的精妙起点。它首先是一种深刻的关系智慧：通过主动放低自我、关注并推崇他人，能够有效消解人际交往中天然的防御与对立情绪，建立深层次的信任纽带。在一个团队成员都急于彰显个人功劳的项目组里，那位主动归功于同伴、承担幕后协调工作的成员，往往最终成为大家心中真正的核心。他的“言下”与“身后”，非但没有埋没他，反而在无形中编织了一张以他为中心的认同网络，为其“处上”与“处前”铺垫了最坚实的民意基础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在个人发展需要主动“亮剑”、积极“内卷”的时代，强调“谦下”与“居后”的传统品格，是否已经不合时宜？</w:t>
      </w:r>
      <w:r>
        <w:rPr>
          <w:rFonts w:ascii="SimSun" w:hAnsi="SimSun" w:eastAsia="SimSun"/>
        </w:rPr>
        <w:t xml:space="preserve"> 这质疑了传统美德与现代生存法则的兼容性。但问题或许在于，我们将“亮剑”狭隘地理解为咄咄逼人的自我标榜，而忽略了“润物无声”的另一种强大。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如何区分有益于凝聚力量的“战略性谦下”，与导致自我埋没的“消极性退缩”？</w:t>
      </w:r>
      <w:r>
        <w:rPr>
          <w:rFonts w:ascii="SimSun" w:hAnsi="SimSun" w:eastAsia="SimSun"/>
        </w:rPr>
        <w:t xml:space="preserve"> 这是实践中的关键分水岭。二者的本质区别在于，前者有清晰的“上”与“先”的远景作为引导，其“下”与“后”是主动选择的路径与姿态；而后者则缺乏内在目标，纯粹是被动的回避。</w:t>
      </w:r>
    </w:p>
    <w:p>
      <w:pPr>
        <w:ind w:firstLine="480"/>
      </w:pPr>
      <w:r>
        <w:rPr>
          <w:rFonts w:ascii="SimSun" w:hAnsi="SimSun" w:eastAsia="SimSun"/>
        </w:rPr>
        <w:t>立意进阶要求我们穿透表面姿态，洞察“谦下”背后的动力学原理。道家的谦下，本质上是一种“成就他人以最终成就自己”的宏大智慧。它深刻把握了人性：人们天然倾向于追随那些尊重自己、并能帮助自己实现价值的领导者。因此，“以言下之”是给予对方尊重与存在感，“以身后之”是将对方的利益与成功置于前台。这种行为能激发他人最大的主动性、忠诚与创造力。在当代团队管理、公共治理乃至个人品牌建设中，这种智慧尤为珍贵。它不是放弃引领，而是换用更柔和、更持久、也更根本的方式实现引领——通过服务与托举，让自己成为众人价值实现的支点。当你能成就越来越多的人时，你自身的地位与影响力便如水涨船高，自然稳固而无可争议。这便是个体修养转化为巨大现实力量的智慧通道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66.江海之所以能为百谷王者，以其善下之，故能为百谷王。是以圣人欲上民，必以言下之。欲先民，必以身後之。是以圣人处上而民不重，处前而民不害。是以天下乐推而不厌。以其不争，故天下莫能与之争。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