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无形的天象——辨识一个时代的伟大轮廓</w:t>
      </w:r>
    </w:p>
    <w:p>
      <w:pPr>
        <w:ind w:firstLine="480"/>
      </w:pPr>
      <w:r>
        <w:rPr>
          <w:rFonts w:ascii="SimSun" w:hAnsi="SimSun" w:eastAsia="SimSun"/>
        </w:rPr>
        <w:t>在众声喧哗的“后真相”时代，我们习惯于捕捉和消费那些“像”某种标签、极易识别的事物——像成功、像真理、像进步。然而，两千五百年前的老子却提出了一个看似矛盾的深刻洞见：“天下皆谓我道大似不肖。夫唯大故似不肖。”（天下人都说我讲的“道”太宏大，以至于不像任何具体东西。正因为它宏大，所以才不像。）这正是老子思想的核心思辨张力所在：他彻底挑战了我们根深蒂固的“以像识物”的认知模式，揭示了最高级的法则与价值，恰恰因其超越性与整全性，而无法被简化、归类到任何流行的、具体的框架之中。它宏大，故“不肖”；一旦它“像”了某个狭隘的典范，便已失去其伟大，沦为“细也夫”。这一洞见不仅是对宇宙本体的描述，更是对认知、价值与实践的深刻训诫，它邀请我们以一种谦逊而开放的姿态，去辨识那些无形的、朴素的，却真正塑造时代的力量。以下，我们将循着老子的智慧，探讨其在几个关键母题上的深邃回响。</w:t>
      </w:r>
    </w:p>
    <w:p>
      <w:pPr>
        <w:pStyle w:val="Heading3"/>
      </w:pPr>
      <w:r>
        <w:rPr>
          <w:rFonts w:ascii="SimSun" w:hAnsi="SimSun" w:eastAsia="SimSun"/>
        </w:rPr>
        <w:t>母题一：认知的边界与真理的超越性</w:t>
      </w:r>
    </w:p>
    <w:p>
      <w:pPr>
        <w:ind w:firstLine="480"/>
      </w:pPr>
      <w:r>
        <w:rPr>
          <w:rFonts w:ascii="SimSun" w:hAnsi="SimSun" w:eastAsia="SimSun"/>
        </w:rPr>
        <w:t>我们的认知本能是寻求确定性与安全感，因而总是急切地给事物贴标签、找类比，将其归入我们已知的“像”的范畴。社交媒体上，“像网红”“像风口”“像爆款”成为快速理解事物的捷径。然而，老子的“似不肖”如同一记清凉的棒喝，揭示了我们认知工具箱的根本局限：那些最宏大、最根本的真理——关于生命、正义、宇宙之“道”——因其无限的深度与广度，注定会溢出任何单一的、具体的认知模型。将一种新思想草率判定为“不像”主流科学、“不像”经典理论，或许并非因为它荒谬，而正是因为它可能触碰到了现有范式无法容纳的、更广阔的真理边缘。执着于“像”，无异于以管窥天，我们用概念的尺子丈量世界，却可能错失了世界本身那无法丈量的浩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我们是否因为执着于寻找事物“像什么”，而错过了理解它“是什么”的本质？</w:t>
      </w:r>
      <w:r>
        <w:rPr>
          <w:rFonts w:ascii="SimSun" w:hAnsi="SimSun" w:eastAsia="SimSun"/>
        </w:rPr>
        <w:t xml:space="preserve"> 这个问题迫使我们反思认知的优先级：是急于将其纳入既有秩序以消除陌生感，还是首先尊重其自足的独特性，保持观察与聆听的耐心？</w:t>
      </w:r>
      <w:r>
        <w:rPr>
          <w:rFonts w:ascii="SimSun" w:hAnsi="SimSun" w:eastAsia="SimSun"/>
          <w:b/>
        </w:rPr>
        <w:t>当一种思想或价值因其“不像”主流而被边缘化时，我们是在坚守标准，还是在扼杀伟大的可能性？</w:t>
      </w:r>
      <w:r>
        <w:rPr>
          <w:rFonts w:ascii="SimSun" w:hAnsi="SimSun" w:eastAsia="SimSun"/>
        </w:rPr>
        <w:t xml:space="preserve"> 历史中，诸多开创性洞见（如日心说、非欧几何）在其诞生之初，都因“不肖”于当时的权威认知而备受排斥。老子的智慧提示我们，认知的谦逊，首先体现为对“不肖”之物的敬畏与悬置判断的勇气。</w:t>
      </w:r>
    </w:p>
    <w:p>
      <w:pPr>
        <w:ind w:firstLine="480"/>
      </w:pPr>
      <w:r>
        <w:rPr>
          <w:rFonts w:ascii="SimSun" w:hAnsi="SimSun" w:eastAsia="SimSun"/>
        </w:rPr>
        <w:t>因此，立意进阶在于，追求真理并非只是知识的正向累积，更是一种“为道日损”的负向功夫——主动剥离那些僵化的、自以为是的认知框架。真正的智慧不在于将万物纳入一张看似完美的概念地图，而在于认识到地图永远不是领土本身，并时刻准备修正甚至抛弃地图。这要求我们培养一种“否定性认知能力”：通过明确什么不是（不肖），来趋近那无法被正面言说、定义的“是”。在信息爆炸的今天，这种能力尤为重要。它使我们能抵抗标签化的诱惑，对复杂的现实保持开放，从而有机会瞥见那些因其超越性而“不肖”于流俗见解的、更深刻的结构与规律。正如金句所言，“夫唯大故似不肖”，当我们遇到一种无法简单归类、挑战我们既有认知模式的思想时，或许正是我们接近某种“大”的真理的时刻。</w:t>
      </w:r>
    </w:p>
    <w:p>
      <w:pPr>
        <w:pStyle w:val="Heading3"/>
      </w:pPr>
      <w:r>
        <w:rPr>
          <w:rFonts w:ascii="SimSun" w:hAnsi="SimSun" w:eastAsia="SimSun"/>
        </w:rPr>
        <w:t>母题二：抽象法则与具体践行的辩证统一</w:t>
      </w:r>
    </w:p>
    <w:p>
      <w:pPr>
        <w:ind w:firstLine="480"/>
      </w:pPr>
      <w:r>
        <w:rPr>
          <w:rFonts w:ascii="SimSun" w:hAnsi="SimSun" w:eastAsia="SimSun"/>
        </w:rPr>
        <w:t>老子思想的精妙之处，在于其深刻的统一性：在揭示了“道”之“大”与“不肖”的超越性后，他并未将其悬置为玄虚的概念，而是立刻提出了“三宝”——“慈”、“俭”、“不敢为天下先”这些极为具体、甚至看似“怯懦”或“保守”的实践准则。这就构成了一个极富张力的思辨结构：那无形无象、无法比拟的宏大之“道”，其生命力和现实力量，恰恰要通过这些最质朴、最细微的品格与行动来承载、彰显和持守。破题的关键在于理解，“道”并非遥不可及的抽象理念，而是必须内化于具体生命实践的内在法则。将“不敢为天下先”简单理解为消极退让，正是犯了“以像识之”的错误；在老子看来，这种不争、处下的姿态，恰恰是“故能成器长”（所以能成为万物的尊长）的宏大智慧在具体情境中的体现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将宏大的、超越性的理想（道），分解为具体的、甚至看似“怯懦”或“保守”的行为准则（如“不敢为天下先”），这是一种智慧的落地，还是对理想高度的降低？</w:t>
      </w:r>
      <w:r>
        <w:rPr>
          <w:rFonts w:ascii="SimSun" w:hAnsi="SimSun" w:eastAsia="SimSun"/>
        </w:rPr>
        <w:t xml:space="preserve"> 这触及了理想主义与务实精神的核心矛盾。老子给出的答案是前者：正因“道”是宏大的、整体的，它无法通过某个局部的、激烈的、“像”英雄主义的单点突破来实现；相反，它需要系统性的、基础的、如滴水穿石般的持久践行。</w:t>
      </w:r>
      <w:r>
        <w:rPr>
          <w:rFonts w:ascii="SimSun" w:hAnsi="SimSun" w:eastAsia="SimSun"/>
          <w:b/>
        </w:rPr>
        <w:t>在现实中，我们更容易被华丽、激进、“像”成功学模版的方案吸引，而轻视那些朴实无华、“不肖”于流行价值的根本法则（如慈与俭），这是否是我们常常事倍功半的根源？</w:t>
      </w:r>
      <w:r>
        <w:rPr>
          <w:rFonts w:ascii="SimSun" w:hAnsi="SimSun" w:eastAsia="SimSun"/>
        </w:rPr>
        <w:t xml:space="preserve"> 现代社会崇尚“抢先机”、“高消费”、“强竞争”，这些都与“俭”与“后”背道而驰。老子警示，若“舍慈且勇，舍俭且广，舍後且先”，结果只能是“死矣”。</w:t>
      </w:r>
    </w:p>
    <w:p>
      <w:pPr>
        <w:ind w:firstLine="480"/>
      </w:pPr>
      <w:r>
        <w:rPr>
          <w:rFonts w:ascii="SimSun" w:hAnsi="SimSun" w:eastAsia="SimSun"/>
        </w:rPr>
        <w:t>因此，立意进阶在于领悟“大象无形”与“大道至简”的辩证统一。真正强大的、持久的变革力量（道），往往不显现为戏剧性的、可被轻易“识别”为“像”成功的事件。它可能体现为一种普遍的、深植于日常的“慈”（同情与责任），一种可持续的“俭”（对资源的敬畏与节制），一种谦逊的“后”（充分观察与积累后的稳健行动）。这些践行，单独看或许微不足道，甚至“不肖”于轰轰烈烈的功业，但它们共同构成了社会与文明健康、长远发展的根基。老子的智慧启示我们，追求个人与社会的至善（大道），不在于寻找和模仿某个外在的、光鲜的“成功样板”，而在于向内持守这些根本的、质朴的“宝”。正是这些具体而微的践行，让超越的“道”有了温度与力量，避免了其沦为一句空洞的口号，从而在尘世中开辟出一条切实可行的、“以慈卫之”的生存与发展之道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67.天下皆谓我道大似不肖。夫唯大故似不肖。若肖，久矣！其细也夫。我有三宝持而保之∶一曰慈， 二曰俭，三曰不敢为天下先。慈故能勇，俭故能广，不敢为天下先故能成器长。今舍慈且勇，舍俭且广，舍後且先，死矣！夫慈以战则胜，以守则固。天将救之以慈卫之。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