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视角的谦逊：在后真相时代重建对话的可能</w:t>
      </w:r>
    </w:p>
    <w:p>
      <w:pPr>
        <w:ind w:firstLine="480"/>
      </w:pPr>
      <w:r>
        <w:rPr>
          <w:rFonts w:ascii="SimSun" w:hAnsi="SimSun" w:eastAsia="SimSun"/>
        </w:rPr>
        <w:t>今天，我们生活在一个观点空前爆炸的时代，社交媒体与算法推荐将我们投入各自的信息茧房，也让公共讨论变得前所未有的极化与艰难。人们执着于捍卫自己的“真相”，急于抢占道德与智识的“先”机，论辩往往沦为立场的宣誓与标签的互掷。在这样的困境中，老子两千多年前提出的“三宝”之一——“不敢为天下先”，展现出穿越时空的思辨张力。他挑战的，正是人类根深蒂固的“争先”本能与线性竞争观，揭示了一个深刻悖论：那些最急于宣称自己正确、占据话语权“先”位的人，往往可能离真正的智慧与有效领导最远。其核心思辨在于，他并非鼓吹消极退缩，而是提供了一种基于生态位战略的高级竞争哲学：通过主动的谦退、观察与涵容，规避“先发”带来的锋芒与风险，最终在关系的自然演进与系统的动态平衡中，成就稳固而持久的引领地位（“成器长”）。这为我们理解个人发展、领导力本质以及个体与时代的互动，提供了超越非此即彼的宝贵框架。下文将围绕三个核心母题，展开这一古老智慧的现代回响。</w:t>
      </w:r>
    </w:p>
    <w:p>
      <w:pPr>
        <w:pStyle w:val="Heading3"/>
      </w:pPr>
      <w:r>
        <w:rPr>
          <w:rFonts w:ascii="SimSun" w:hAnsi="SimSun" w:eastAsia="SimSun"/>
        </w:rPr>
        <w:t>母题一：争先的迷思与“不争”的生态智慧</w:t>
      </w:r>
    </w:p>
    <w:p>
      <w:pPr>
        <w:ind w:firstLine="480"/>
      </w:pPr>
      <w:r>
        <w:rPr>
          <w:rFonts w:ascii="SimSun" w:hAnsi="SimSun" w:eastAsia="SimSun"/>
        </w:rPr>
        <w:t>现代社会的“内卷”景观，本质上是无数个体在同一维度、同一赛道上对“先”的疯狂竞逐。从教育的“抢跑”到职场的“996”，从网络上的“首发”到舆论中的“站队”，“争先”已内化为一种集体焦虑，甚至异化为目的本身。老子“不敢为天下先”的箴言，在此语境下绝非劝人躺平，而是提供了一种构建个人差异化“生态位”的战略清醒。它提示我们，竞争不必是零和博弈中你死我活的次序争夺，而可以转向对独特价值空间的开拓与对良性关系的滋养。其精髓在于“不争之争”：放弃在红海中成为那个最刺眼、最易受攻击的“第一”，转而去发现或创造一片属于自己的“蓝海”，成为其中不可或缺、自然聚合的节点。这要求个体从对外在排名的执着，转向对内在价值创造力与系统贡献度的深耕。如同溪流不争先，而争的是滔滔不绝，以及沿途滋养的土地。</w:t>
      </w:r>
    </w:p>
    <w:p>
      <w:pPr>
        <w:ind w:firstLine="480"/>
      </w:pPr>
      <w:r>
        <w:rPr>
          <w:rFonts w:ascii="SimSun" w:hAnsi="SimSun" w:eastAsia="SimSun"/>
        </w:rPr>
      </w:r>
      <w:r>
        <w:rPr>
          <w:rFonts w:ascii="SimSun" w:hAnsi="SimSun" w:eastAsia="SimSun"/>
          <w:b/>
        </w:rPr>
        <w:t>在一个普遍将“进取心”等同于“争先恐后”的文化里，选择“不争”的路径，如何能被证明不是一种对挑战与责任的怯懦逃避，而是一种更具远见的战略定力？</w:t>
      </w:r>
      <w:r>
        <w:rPr>
          <w:rFonts w:ascii="SimSun" w:hAnsi="SimSun" w:eastAsia="SimSun"/>
        </w:rPr>
        <w:t xml:space="preserve"> 这是对行动动机与长期价值的根本追问。</w:t>
      </w:r>
      <w:r>
        <w:rPr>
          <w:rFonts w:ascii="SimSun" w:hAnsi="SimSun" w:eastAsia="SimSun"/>
          <w:b/>
        </w:rPr>
        <w:t>再者，在动态变化、机遇稍纵即逝的环境中，“不争”的姿态如何能确保自身不被边缘化，反而能持续生长与进化？</w:t>
      </w:r>
      <w:r>
        <w:rPr>
          <w:rFonts w:ascii="SimSun" w:hAnsi="SimSun" w:eastAsia="SimSun"/>
        </w:rPr>
        <w:t xml:space="preserve"> 这触及了“不争”策略的动态适应性核心。</w:t>
      </w:r>
    </w:p>
    <w:p>
      <w:pPr>
        <w:ind w:firstLine="480"/>
      </w:pPr>
      <w:r>
        <w:rPr>
          <w:rFonts w:ascii="SimSun" w:hAnsi="SimSun" w:eastAsia="SimSun"/>
        </w:rPr>
        <w:t>老子智慧的深刻之处在于，它将“不争”与“成器长”的结果紧密相连，揭示了最高效的竞争往往是创造“无需争”或“共同受益”的新格局。其哲学内核源于“道”的规律：“上善若水，水善利万物而不争。” 真正的成长与领导力，并非来自强行占据的孤立高点，而是源于像水一样，在低处汇聚、滋养万物，从而自然形成百川归海的“势能”。应用于个人发展，这意味着我们的终极目标不应是成为孤独的冠军，而是成为生态中一个富有吸引力、能够促成连接与繁荣的枢纽。例如，在学术研究中，不汲汲于追逐热门、发表“首发”论文，而是深耕一个基础但关键的领域，最终可能成为该领域不可绕过的基石学者；在商业中，不盲目跟风“风口”，而是专注于解决一个未被满足的深层需求，可能开辟出全新的市场。这种“不争”，是对自身核心能力的深度建设，是在复杂系统中寻找并稳固一个既能贡献价值又能规避无谓消耗的生态位，是远比直线冲刺更智慧、更持久的生存与发展之道。</w:t>
      </w:r>
    </w:p>
    <w:p>
      <w:pPr>
        <w:pStyle w:val="Heading3"/>
      </w:pPr>
      <w:r>
        <w:rPr>
          <w:rFonts w:ascii="SimSun" w:hAnsi="SimSun" w:eastAsia="SimSun"/>
        </w:rPr>
        <w:t>母题二：“器长”之辨：何为真正的引领者？</w:t>
      </w:r>
    </w:p>
    <w:p>
      <w:pPr>
        <w:ind w:firstLine="480"/>
      </w:pPr>
      <w:r>
        <w:rPr>
          <w:rFonts w:ascii="SimSun" w:hAnsi="SimSun" w:eastAsia="SimSun"/>
        </w:rPr>
        <w:t>“不敢为天下先故能成器长”，这句话直指领导力哲学的核心悖论：主动放弃“先”位，反而能成就“长”（领袖）的地位。这迫使我们辨析两种截然不同的引领范式：一种是基于权力意志、速度优势和强力掌控的“先行引领”，其特征是身先士卒、令行禁止，但也容易因锋芒过露而树敌，或因判断仓促而失误。另一种则是基于德行感召、包容智慧与生态位优势的“后发汇聚”。这种引领者可能不站在队伍的最前端呼喊，而是居于后方，以“慈”（仁爱关怀）凝聚人心，以“俭”（节制蓄力）积累资源，以“不敢为天下先”的谦退观察全局、调和矛盾。其权威并非来自强制，而是来自因其无私与明智而赢得的自发信任与拥戴，如同百川归于大海，是自然而然的归附。</w:t>
      </w:r>
    </w:p>
    <w:p>
      <w:pPr>
        <w:ind w:firstLine="480"/>
      </w:pPr>
      <w:r>
        <w:rPr>
          <w:rFonts w:ascii="SimSun" w:hAnsi="SimSun" w:eastAsia="SimSun"/>
        </w:rPr>
      </w:r>
      <w:r>
        <w:rPr>
          <w:rFonts w:ascii="SimSun" w:hAnsi="SimSun" w:eastAsia="SimSun"/>
          <w:b/>
        </w:rPr>
        <w:t>领导者的合法性根基，究竟更依赖于制度赋予的“先发”职务与强制力，还是更依赖于在动态互动中生成的认同、信任与自愿追随？“不敢为天下先”的策略如何能系统性地培育后者？</w:t>
      </w:r>
      <w:r>
        <w:rPr>
          <w:rFonts w:ascii="SimSun" w:hAnsi="SimSun" w:eastAsia="SimSun"/>
        </w:rPr>
        <w:t xml:space="preserve"> 这触及了权威的来源是“自上而下”还是“自下而上”的根本问题。</w:t>
      </w:r>
      <w:r>
        <w:rPr>
          <w:rFonts w:ascii="SimSun" w:hAnsi="SimSun" w:eastAsia="SimSun"/>
          <w:b/>
        </w:rPr>
        <w:t>在现代组织强调效率、执行与快速反应的语境下，“后”与“不争”的审慎智慧，如何能与决策的魄力、行动的敏捷性相协调，而不被视为优柔寡断？</w:t>
      </w:r>
      <w:r>
        <w:rPr>
          <w:rFonts w:ascii="SimSun" w:hAnsi="SimSun" w:eastAsia="SimSun"/>
        </w:rPr>
        <w:t xml:space="preserve"> 这是对古老智慧在现代管理场景中实用性的直接拷问。</w:t>
      </w:r>
    </w:p>
    <w:p>
      <w:pPr>
        <w:ind w:firstLine="480"/>
      </w:pPr>
      <w:r>
        <w:rPr>
          <w:rFonts w:ascii="SimSun" w:hAnsi="SimSun" w:eastAsia="SimSun"/>
        </w:rPr>
        <w:t>老子的深刻洞察在于，他将“慈”与“俭”这两项内在品德，作为“不敢为天下先”的前提与基础。这揭示了一个关键逻辑：真正的“器长”之德，其本质是服务与成全，而非占有与主宰。它完美地顺应了“道”生养、辅助万物而不试图占有的特性。因此，这种领导力的高级形态，并非传统的“控制-命令”模式，而是“营造-赋能”模式。领袖的核心任务不是自己成为最耀眼的光源，而是创造一个阳光、雨露充沛的生态，让团队中的每个成员（万物）都能在其中获得养分、找到位置、自然生长。他通过解决冲突（“挫其锐，解其纷”）、容纳差异（“和其光，同其尘”），使系统达到和谐与繁荣。而他自身，则因为成功扮演了这个生态的守护者与催化剂的角色，被整个系统自然地尊奉为“长”。从企业角度看，这类似于构建开放创新的平台型组织；从社会角度看，这接近于倡导“放管服”改革、激发社会活力的治理理念。它实现的是一种从“英雄式领导”到“生态化领导”的深刻范式转移。</w:t>
      </w:r>
    </w:p>
    <w:p>
      <w:pPr>
        <w:pStyle w:val="Heading3"/>
      </w:pPr>
      <w:r>
        <w:rPr>
          <w:rFonts w:ascii="SimSun" w:hAnsi="SimSun" w:eastAsia="SimSun"/>
        </w:rPr>
        <w:t>母题三：时代的洪流与个人的位置：论“待时”与“造势”</w:t>
      </w:r>
    </w:p>
    <w:p>
      <w:pPr>
        <w:ind w:firstLine="480"/>
      </w:pPr>
      <w:r>
        <w:rPr>
          <w:rFonts w:ascii="SimSun" w:hAnsi="SimSun" w:eastAsia="SimSun"/>
        </w:rPr>
        <w:t>“个人与时代”是一个永恒的命题。在宏大的历史叙事或急剧的社会变革面前，个体常常感到无力，似乎只有两种选择：要么奋力跃上潮头，争做弄潮儿；要么被无声裹挟，沦为背景板。老子的“不敢为天下先”提供了极具张力的第三种视角——一种关于“时机”与“位置”的主动哲学。它主张，个体完全可以既不盲目冲锋，也不消极随波，而是通过明智的“居后”，来实现冷静的“观势”；通过有意识的“不争”，来进行从容的“蓄势”。最终目标，是在系统变动的关键节点上，凭借长期积累的深厚力量与对规律的精准把握，以恰到好处的介入“成势”，从而智慧地实现自身价值，甚至影响时代的走向。</w:t>
      </w:r>
    </w:p>
    <w:p>
      <w:pPr>
        <w:ind w:firstLine="480"/>
      </w:pPr>
      <w:r>
        <w:rPr>
          <w:rFonts w:ascii="SimSun" w:hAnsi="SimSun" w:eastAsia="SimSun"/>
        </w:rPr>
      </w:r>
      <w:r>
        <w:rPr>
          <w:rFonts w:ascii="SimSun" w:hAnsi="SimSun" w:eastAsia="SimSun"/>
          <w:b/>
        </w:rPr>
        <w:t>在“快鱼吃慢鱼”、“机遇窗口期短暂”成为共识的当下，强调审慎“待时”的老子智慧，是否与时代精神相悖？我们如何区分基于深刻洞察的、积极的“待时”，与源于恐惧或惰性的、消极的“迟缓”？</w:t>
      </w:r>
      <w:r>
        <w:rPr>
          <w:rFonts w:ascii="SimSun" w:hAnsi="SimSun" w:eastAsia="SimSun"/>
        </w:rPr>
        <w:t xml:space="preserve"> 这关系到行动哲学中“动”与“静”的辩证平衡。</w:t>
      </w:r>
      <w:r>
        <w:rPr>
          <w:rFonts w:ascii="SimSun" w:hAnsi="SimSun" w:eastAsia="SimSun"/>
          <w:b/>
        </w:rPr>
        <w:t>更进一步，当社会面临危机、旧局亟待打破，需要有人挺身而出承担风险时，“不敢为天下先”的原则是否意味着退缩？其核心的“不敢”，边界究竟在何处？</w:t>
      </w:r>
      <w:r>
        <w:rPr>
          <w:rFonts w:ascii="SimSun" w:hAnsi="SimSun" w:eastAsia="SimSun"/>
        </w:rPr>
        <w:t xml:space="preserve"> 这触及了这一哲学在极限情境下的适用性与灵活性。</w:t>
      </w:r>
    </w:p>
    <w:p>
      <w:pPr>
        <w:ind w:firstLine="480"/>
      </w:pPr>
      <w:r>
        <w:rPr>
          <w:rFonts w:ascii="SimSun" w:hAnsi="SimSun" w:eastAsia="SimSun"/>
        </w:rPr>
        <w:t>“不敢为天下先”的终极智慧，恰恰体现在对“时”与“位”的精微把握上。它反对的，从来不是必要的、合于道的行动，而是出于个人虚荣、群体盲动或短视功利心的“盲目争先”。老子哲学中的“动”，是“动善时”，即行动要善于把握时机。真正的“先见之明”，有时恰恰表现为在众人狂热追逐时敢于“后”退一步，保持独立判断；而在众人恐惧徘徊时，又能基于充分的“蓄势”而“敢为天下先”。诸葛亮“未出茅庐而定天下三分”是“待时”与“观势”的典范；而他最终的出山辅佐，则是“蓄势”已足后“成势”的行动。对于现代个体而言，这意味着不必在每一个热点中刷存在感，而应深度耕耘自身领域，形成独特的认知与能力“根据地”。当时机来临——这时机可能是技术的拐点、社会的痛点、认知的盲点——便能以己之深厚积累，提供关键解决方案，从而以“后”发之力，成就引领之“先”。这便是个体与时代共舞的最高境界：不是被时代拖着走，也不是盲目地逆流而上，而是深刻理解时代的“河道”与“水流”（道），智慧地选择自己的“航向”与“桨法”，最终既能借势而行，亦能以自身之行微妙地影响水流的方向。</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《道德经》 (老子) : 67.天下皆谓我道大似不肖。夫唯大故似不肖。若肖，久矣！其细也夫。我有三宝持而保之∶一曰慈， 二曰俭，三曰不敢为天下先。慈故能勇，俭故能广，不敢为天下先故能成器长。今舍慈且勇，舍俭且广，舍後且先，死矣！夫慈以战则胜，以守则固。天将救之以慈卫之。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