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守其所以然：——老子“无为而治”对现代管理困境的启示</w:t>
      </w:r>
    </w:p>
    <w:p>
      <w:pPr>
        <w:ind w:firstLine="480"/>
      </w:pPr>
      <w:r>
        <w:rPr>
          <w:rFonts w:ascii="SimSun" w:hAnsi="SimSun" w:eastAsia="SimSun"/>
        </w:rPr>
        <w:t>在崇尚效率、迷恋控制的现代社会，从企业管理到社会治理，我们常常目睹一种困局：领导者越是事必躬亲、强力干预，系统反而越是僵化、失灵甚至反噬自身。两千多年前，老子在《道德经》第七十四章，以寥寥数语，已为我们洞穿了这一困局的根源。他提出的核心思辨张力在于，</w:t>
      </w:r>
      <w:r>
        <w:rPr>
          <w:rFonts w:ascii="SimSun" w:hAnsi="SimSun" w:eastAsia="SimSun"/>
          <w:b/>
        </w:rPr>
        <w:t>他尖锐地质疑了“有为而治”的万能神话，揭示了一个深刻的悖论：统治（管理）者越是想用强力手段（尤其是终极暴力）掌控秩序，一旦越过了某种界限，就越可能动摇秩序的根基，甚至招致对自身的伤害</w:t>
      </w:r>
      <w:r>
        <w:rPr>
          <w:rFonts w:ascii="SimSun" w:hAnsi="SimSun" w:eastAsia="SimSun"/>
        </w:rPr>
        <w:t>。“民不畏死，奈何以死惧之”与“代大匠斫者，希有不伤其手矣”，构成了对权力僭越与暴力失效的双重警示。老子的核心观点并非消极的“不作为”，而是主张一种更高明的“无为而治”：尊重并顺应系统（社会、生命、组织）内在的规律与分工，将专业事务交还专业角色，通过培育内在认同而非仅依赖外在威慑来维系长久和谐。本文将围绕老子的这一智慧，探讨其在现代语境下的多维启示。</w:t>
      </w:r>
    </w:p>
    <w:p>
      <w:pPr>
        <w:pStyle w:val="Heading3"/>
      </w:pPr>
      <w:r>
        <w:rPr>
          <w:rFonts w:ascii="SimSun" w:hAnsi="SimSun" w:eastAsia="SimSun"/>
        </w:rPr>
        <w:t>母题一：权力的边界与克制——从“代大匠斫”看越界之伤</w:t>
      </w:r>
    </w:p>
    <w:p>
      <w:pPr>
        <w:ind w:firstLine="480"/>
      </w:pPr>
      <w:r>
        <w:rPr>
          <w:rFonts w:ascii="SimSun" w:hAnsi="SimSun" w:eastAsia="SimSun"/>
        </w:rPr>
        <w:t>老子的“代大匠斫”是一个极具穿透力的隐喻，它精准地描绘了权力越界的典型姿态及其必然恶果。破题的关键在于，将“大匠”理解为任何系统内固有的专业功能、自然规律或特定角色，而“代斫者”则是一切试图以外部意志强行取代内部机制的主体。在企业管理中，这可能是 CEO 越过部门总监直接指挥一线员工，打乱了管理链与专业判断；在家庭教育中，这可能是父母包办孩子的一切选择，剥夺其试错与成长的自然过程；在公共治理中，这可能是行政权力过度干预司法或市场，损害其独立性与效率。这些行为，最初往往披着“负责”、“高效”或“关爱”的外衣，但其本质是一种对系统自组织能力的不信任与僭越。老子警示我们，这种“积极作为”因其违背了事物运行的“天道”（内在法则），非但不能成事，反而会像笨拙的外行挥舞利斧一样，首先伤及操刀者自己——导致权威流失、信任破产、系统紊乱，最终反噬行动者最初的意图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怀有“济世”或“负责”的强烈意愿时，我们如何判断自己的行动是“必要的担当”还是“危险的越界”？一个系统的稳定，究竟更依赖于一个全能主宰的精密调控，还是依赖于各司其职、遵循内在规律的自治？</w:t>
      </w:r>
      <w:r>
        <w:rPr>
          <w:rFonts w:ascii="SimSun" w:hAnsi="SimSun" w:eastAsia="SimSun"/>
        </w:rPr>
        <w:t xml:space="preserve"> 前者追问的是行动的尺度与自我反思的能力，后者则直指系统哲学的根本：是相信涌现的智慧，还是迷信设计的权威。</w:t>
      </w:r>
    </w:p>
    <w:p>
      <w:pPr>
        <w:ind w:firstLine="480"/>
      </w:pPr>
      <w:r>
        <w:rPr>
          <w:rFonts w:ascii="SimSun" w:hAnsi="SimSun" w:eastAsia="SimSun"/>
        </w:rPr>
        <w:t>因此，立意需要超越对“干预”的表面批评，深入“无为”的积极内核。老子的智慧提示我们，</w:t>
      </w:r>
      <w:r>
        <w:rPr>
          <w:rFonts w:ascii="SimSun" w:hAnsi="SimSun" w:eastAsia="SimSun"/>
          <w:b/>
        </w:rPr>
        <w:t>最高明的领导力不在于自己多么“能干”，而在于能让系统内的“大匠们”顺畅发挥</w:t>
      </w:r>
      <w:r>
        <w:rPr>
          <w:rFonts w:ascii="SimSun" w:hAnsi="SimSun" w:eastAsia="SimSun"/>
        </w:rPr>
        <w:t>。这意味着，真正的“治”，是建立清晰的规则（道）、营造公正的环境（德）、然后退后一步，守护这套规则与环境的运行。管理者应从冲锋在前的“控制者”，转变为隐于幕后的“服务者”与“平台搭建者”。其力量体现为克制——克制亲自操刀的冲动，克制 micromanagement 的欲望，将能量用于激发系统内在的生机与创造力。正如金句所言：“夫代大匠斫者，希有不伤其手矣。”对权力边界的清醒认知与主动恪守，正是避免“自伤”、实现系统长治久安的第一课。</w:t>
      </w:r>
    </w:p>
    <w:p>
      <w:pPr>
        <w:pStyle w:val="Heading3"/>
      </w:pPr>
      <w:r>
        <w:rPr>
          <w:rFonts w:ascii="SimSun" w:hAnsi="SimSun" w:eastAsia="SimSun"/>
        </w:rPr>
        <w:t>母题二：敬畏的消逝与秩序的重建——当“以死惧之”失效之后</w:t>
      </w:r>
    </w:p>
    <w:p>
      <w:pPr>
        <w:ind w:firstLine="480"/>
      </w:pPr>
      <w:r>
        <w:rPr>
          <w:rFonts w:ascii="SimSun" w:hAnsi="SimSun" w:eastAsia="SimSun"/>
        </w:rPr>
        <w:t>老子所言“民不畏死”，描绘的是一幅社会秩序基石崩塌的极端图景。此时，法律最严厉的惩罚（死刑）已失去威慑力，这远非统治技术失灵那么简单，它标志着一个更根本的危机：</w:t>
      </w:r>
      <w:r>
        <w:rPr>
          <w:rFonts w:ascii="SimSun" w:hAnsi="SimSun" w:eastAsia="SimSun"/>
          <w:b/>
        </w:rPr>
        <w:t>社会共同体对生命价值、规则底线和超越性伦理的共同敬畏已荡然无存</w:t>
      </w:r>
      <w:r>
        <w:rPr>
          <w:rFonts w:ascii="SimSun" w:hAnsi="SimSun" w:eastAsia="SimSun"/>
        </w:rPr>
        <w:t>。破题需深入这一心理与社会层面。在现代社会，“不畏死”可以隐喻为一种更广泛的价值虚无状态：对法律无敬畏，对契约无尊重，对自然无怜悯，对未来无关怀。当一切都可被功利计算所抵消，当“无所畏惧”成为个体或群体的心理特征时，任何外在的刚性约束都会变得脆弱不堪。老子的深刻之处在于，他点明了秩序维持的双重依赖：表面看是暴力威慑，深层看是价值认同。前者是标，后者是本。一旦价值认同这个“本”腐朽了，“以死惧之”这个“标”便立刻失效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法治社会的长治久安，其根基究竟是令人恐惧的惩罚力度，还是深入人心、被普遍认同的正义观念？在倡导个体权利与自由解放的今天，我们应如何培育与维系那份对生命、对规则、对超越性价值的普遍敬畏，以避免陷入“无所畏惧”的虚无与混乱？</w:t>
      </w:r>
      <w:r>
        <w:rPr>
          <w:rFonts w:ascii="SimSun" w:hAnsi="SimSun" w:eastAsia="SimSun"/>
        </w:rPr>
        <w:t xml:space="preserve"> 第一个问题挑战了重刑主义的迷思，第二个问题则直面现代性带来的价值扁平化危机。</w:t>
      </w:r>
    </w:p>
    <w:p>
      <w:pPr>
        <w:ind w:firstLine="480"/>
      </w:pPr>
      <w:r>
        <w:rPr>
          <w:rFonts w:ascii="SimSun" w:hAnsi="SimSun" w:eastAsia="SimSun"/>
        </w:rPr>
        <w:t>据此，立意应转向积极的秩序重建论。老子揭示的困境，恰恰指明了出路：</w:t>
      </w:r>
      <w:r>
        <w:rPr>
          <w:rFonts w:ascii="SimSun" w:hAnsi="SimSun" w:eastAsia="SimSun"/>
          <w:b/>
        </w:rPr>
        <w:t>可持续的治理，目标不应是让民众“常畏死”（活在恐惧中），而应是通过施行公平、正义与仁政，使民众珍视生命、认同规则，从而自发地不愿去破坏秩序</w:t>
      </w:r>
      <w:r>
        <w:rPr>
          <w:rFonts w:ascii="SimSun" w:hAnsi="SimSun" w:eastAsia="SimSun"/>
        </w:rPr>
        <w:t>。这意味着，秩序的重建工程，必须从修复“敬畏感”开始。这敬畏，非来自盲目的恐惧，而是源于对正义的信服、对生命的尊重、对共同福祉的担当。教育、文化建设和制度公正，都应服务于滋养这种内在的认同感。一个健康的文明，其法律之所以被遵守，不仅仅因为违法会被惩罚，更因为公民内心认同它是正当且有益的。这便是老子思想给我们的现代启示：最稳固的秩序，生于人心，而非刑具。</w:t>
      </w:r>
    </w:p>
    <w:p>
      <w:pPr>
        <w:pStyle w:val="Heading3"/>
      </w:pPr>
      <w:r>
        <w:rPr>
          <w:rFonts w:ascii="SimSun" w:hAnsi="SimSun" w:eastAsia="SimSun"/>
        </w:rPr>
        <w:t>母题三：系统和谐与“在其位，谋其政”——“司杀者杀”的现代启示</w:t>
      </w:r>
    </w:p>
    <w:p>
      <w:pPr>
        <w:ind w:firstLine="480"/>
      </w:pPr>
      <w:r>
        <w:rPr>
          <w:rFonts w:ascii="SimSun" w:hAnsi="SimSun" w:eastAsia="SimSun"/>
        </w:rPr>
        <w:t>“常有司杀者杀”一句，老子明确提出了社会功能应有专业分工的主张。将其抽象化，便成为一个关于系统和谐的核心原理：</w:t>
      </w:r>
      <w:r>
        <w:rPr>
          <w:rFonts w:ascii="SimSun" w:hAnsi="SimSun" w:eastAsia="SimSun"/>
          <w:b/>
        </w:rPr>
        <w:t>任何复杂有机体的有效运转，都依赖于其组成单元各安其位、各专其职、各负其责</w:t>
      </w:r>
      <w:r>
        <w:rPr>
          <w:rFonts w:ascii="SimSun" w:hAnsi="SimSun" w:eastAsia="SimSun"/>
        </w:rPr>
        <w:t>。“司杀者”是系统内负责特定功能（执法）的专门角色。破题需将这一思想应用于现代组织与社会的方方面面。在团队中，程序员、设计师、产品经理各有专业领域；在国家机构中，立法、行政、司法各有权力边界；在生态系统中，生产者、消费者、分解者各居其位。老子警告“代司杀者杀”，本质是警告任何破坏这种功能性分工的行为，都会扰乱系统内在的信息流、能量流与责任链，导致功能紊乱、效率低下，最终伤害整个系统，包括那位越俎代庖的“代斫者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强调跨界融合与灵活创新的时代，专业分工的边界是否已经过时？“各司其职”是否会阻碍效率与创造？当看到“专业者”未能尽责或效率低下时，“外行”凭借热情与权力进行干预，是解决了问题，还是制造了更多、更隐蔽的问题？</w:t>
      </w:r>
      <w:r>
        <w:rPr>
          <w:rFonts w:ascii="SimSun" w:hAnsi="SimSun" w:eastAsia="SimSun"/>
        </w:rPr>
        <w:t xml:space="preserve"> 这些问题触及了现代管理中专业化与灵活性之间的经典张力，也考验着我们面对问题时的本能反应是尊重系统还是依赖人治。</w:t>
      </w:r>
    </w:p>
    <w:p>
      <w:pPr>
        <w:ind w:firstLine="480"/>
      </w:pPr>
      <w:r>
        <w:rPr>
          <w:rFonts w:ascii="SimSun" w:hAnsi="SimSun" w:eastAsia="SimSun"/>
        </w:rPr>
        <w:t>因此，立意进阶需要辩证地看待分工与创新的关系。老子的智慧并非主张僵化的角色固化，而是强调</w:t>
      </w:r>
      <w:r>
        <w:rPr>
          <w:rFonts w:ascii="SimSun" w:hAnsi="SimSun" w:eastAsia="SimSun"/>
          <w:b/>
        </w:rPr>
        <w:t>对系统内在功能结构的尊重是任何有效变革的前提</w:t>
      </w:r>
      <w:r>
        <w:rPr>
          <w:rFonts w:ascii="SimSun" w:hAnsi="SimSun" w:eastAsia="SimSun"/>
        </w:rPr>
        <w:t>。创新与效率的提升，应通过优化“司杀者”自身的机制（如提升专业水准、改善协作流程、明确权责利），而非用权力的任性去粗暴地绕过或取代它。一个卓越的领导者，其角色应是系统规则与生态的“园丁”与“架构师”，致力于让每个“位置”的设计更合理，让角色间的衔接更顺畅，让专业判断得到充分尊重和发挥。只有这样，才能实现“夫物芸芸，各复归其根”的和谐状态，让系统在动态平衡中焕发出整体大于部分之和的生机与创造力。这便是在现代语境下，对“司杀者杀”这一古老智慧的深刻践行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74.民不畏死，奈何以死惧之。若使民常畏死，而为奇者，吾得执而杀之，孰敢。常有司杀者杀。夫代司杀者杀，是谓代大匠斫。夫代大匠斫者，希有不伤其手矣。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