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柔水穿石：在竞争时代重塑有为的坐标</w:t>
      </w:r>
    </w:p>
    <w:p>
      <w:pPr>
        <w:ind w:firstLine="480"/>
      </w:pPr>
      <w:r>
        <w:rPr>
          <w:rFonts w:ascii="SimSun" w:hAnsi="SimSun" w:eastAsia="SimSun"/>
        </w:rPr>
        <w:t>在一个人人被“内卷”与“躺平”的焦虑所拉扯，视零和博弈为唯一生存法则的时代，我们迫切需要一种超越性的智慧来重新锚定行动的意义与边界。两千五百年前的老子，以其深邃的洞察，提出了一个看似悖论的命题：“天之道利而不害。圣人之道为而不争。”其核心思辨性正在于此：它从根本上挑战了我们关于“成功”与“力量”的流行迷思，揭示了“争”的徒劳与“不争”的力量之间的深刻辩证法。老子并非鼓吹消极避世，而是指明天地运行的至高法则是“利”（滋养、成就万物）而非“害”，圣人的行动准则应是“为”（顺应天道、积极创造）而非“争”（为私利而对抗、掠夺）。这一思想如同一面澄澈的古镜，映照出当代社会过度竞争导致的耗散与异化，并指引我们回归一种更具建设性与可持续性的存在方式。下文将从两个紧密关联的维度，探索这一古老智慧如何照亮我们今天的困惑。</w:t>
      </w:r>
    </w:p>
    <w:p>
      <w:pPr>
        <w:pStyle w:val="Heading3"/>
      </w:pPr>
      <w:r>
        <w:rPr>
          <w:rFonts w:ascii="SimSun" w:hAnsi="SimSun" w:eastAsia="SimSun"/>
        </w:rPr>
        <w:t>母题一：有为与无为的辩证法</w:t>
      </w:r>
    </w:p>
    <w:p>
      <w:pPr>
        <w:ind w:firstLine="480"/>
      </w:pPr>
      <w:r>
        <w:rPr>
          <w:rFonts w:ascii="SimSun" w:hAnsi="SimSun" w:eastAsia="SimSun"/>
        </w:rPr>
        <w:t>理解老子的“为而不争”，首先必须跳出“无为等于不作为”的浅薄误读。这里的“为”，是顺应“利而不害”之天道的积极创造，是“既以为人”、“既以与人”的利他行动；而“不争”，则是行动中超越个人私欲、胜负心与占有欲的超然心境。这构成了一组精妙的辩证法：最高效、最持久的“有为”，恰恰根植于一种不执着于短期得失、不陷入对抗性消耗的“无为”格局之中。就像水，它“善利万物而不争”，始终流向低处，滋养生命，看似柔弱不争，却拥有穿石蚀山、汇成江海的终极力量。破题的关键在于，将“不争”理解为一种战略性的资源分配与能量运用智慧，它要求行动者将视野从与他人的零和博弈，转向对整体系统规律（天道）的顺应与贡献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奉行“优胜劣汰”法则的现代社会，“不争”哲学是否只是一种无法落地的理想主义呓语？当个体与组织面临生存压力时，“利他方能利己”的悖论式承诺，需要怎样的现实条件才能从理念转化为可践行的路径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这些问题的回应，构成了立意进阶的核心。“不争”绝非退缩，而是对竞争维度的革命性升级——从“争夺存量”转向“创造增量”，从“战胜对手”转向“成就生态”。老子“既以为人己愈有”的洞见，揭示了一种基于系统互惠的增长逻辑：当一个人的“有为”旨在增加系统总体的福祉与价值时，他自身作为系统的一部分，其价值与资源也会随之水涨船高。这需要培育一种“生态位”思维：个人的真正优势不在于在单一赛道上挤掉所有人，而在于找到自己独特的价值贡献点，并通过协作与利他，巩固自己在价值网络中的不可替代性。因此，老子的辩证法启示我们，最深刻的“有为”，是让自己的行动节奏与天道（即事物发展的根本规律与长期趋势）同频共振，在成就整体繁荣的过程中，实现自身存在意义的深刻饱满与可持续。这便是“夫唯不争，故天下莫能与之争”的终极智慧。</w:t>
      </w:r>
    </w:p>
    <w:p>
      <w:pPr>
        <w:pStyle w:val="Heading3"/>
      </w:pPr>
      <w:r>
        <w:rPr>
          <w:rFonts w:ascii="SimSun" w:hAnsi="SimSun" w:eastAsia="SimSun"/>
        </w:rPr>
        <w:t>母题二：处世的境界：从“入世担当”到“出世心境”</w:t>
      </w:r>
    </w:p>
    <w:p>
      <w:pPr>
        <w:ind w:firstLine="480"/>
      </w:pPr>
      <w:r>
        <w:rPr>
          <w:rFonts w:ascii="SimSun" w:hAnsi="SimSun" w:eastAsia="SimSun"/>
        </w:rPr>
        <w:t>“圣人之道为而不争”勾勒出一种圆融的处世品格，它巧妙地弥合了传统“积极入世”与“淡泊出世”之间的裂痕。圣人并非隐逸山林的旁观者，他积极“为”——为人谋福，与人分享，这是深切的入世担当。然而，他的动机与心境却迥异于俗世：他“不积”（不囤积私产）， “不争”（不争夺名利），内心保持着一种出世的澄明与超脱。破题的核心在于对“行动”与“心境”进行精微的区分：我们可以在现实世界中全力以赴地行动、创造、承担责任，同时，在内心深处，我们可以超越对行动结果（如功名利禄、社会评价）的执着与焦虑。这是一种“以出世之心，行入世之事”的高维境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必须捍卫权益、参与竞争的具体情境中，一个人如何可能既投入地“为”，又超然地“不争”？这种内在要求是否会导致知行不一的人格分裂？更进一步，“不争”的道德高标，是否会迫使个体压抑合理的诉求，从而在现实利益分配中处于不利地位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这些困境的探索，指向了“为而不争”所塑造的独特人格结构与价值坐标系。它并非导致人格分裂，而是促成人格的内在统合与升华。关键是将自我价值的定义，从“与他人的比较性优势”这一外在、易变的尺度，转向“对天道规律的顺应程度”与“对共同体福祉的实际贡献”这一内在、稳定的尺度。当一个人将自己的“为”锚定在创造真实价值、利益众生时，他就获得了一种内在的笃定。对于行动的结果，他持一种“事功在我，得失在天”的豁达：尽己所能，但坦然接受任何结局，因为他的满足感源于创造过程本身与动机的纯粹，而非外在的奖赏。因此，“不争”的心境非但不会削弱行动力，反而能让人在纷扰中保持专注，在逆境中保持韧性，在成功时保持清醒。它最终培养的是一种既勇猛精进又从容淡泊的“君子”品格，使人能在红尘中积极作为，却不被红尘所困，达到“从心所欲不逾矩”的自由境界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81.信言不美。美言不信。善者不辩。辩者不善。知者不博。博者不知。圣人不积。既以为人己愈有。既以与人己愈多。天之道利而不害。圣人之道为而不争。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