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补偿无选择的困境，守护有选择的责任——论德沃金平等的关怀如何照进现实</w:t>
      </w:r>
    </w:p>
    <w:p>
      <w:pPr>
        <w:ind w:firstLine="480"/>
      </w:pPr>
      <w:r>
        <w:rPr>
          <w:rFonts w:ascii="SimSun" w:hAnsi="SimSun" w:eastAsia="SimSun"/>
        </w:rPr>
        <w:t>在疫情封控初期，按户平均发放的物资包曾引发热议：对多口之家杯水车薪，对独居者则可能造成浪费。这一日常困境，恰恰折射出现代社会平等议题的核心难题：简单的“人均一份”是公平吗？法哲学家罗纳德·德沃金的“平等的尊重与关怀”原则，为破解这一难题提供了极具洞见的思辨框架。其思想的核心张力在于，他既挑战了“平均主义即公平”的朴素直觉，也超越了“放任自由即正义”的古典信条，揭示了“平等关怀”与“自由选择”之间深刻的辩证关系。德沃金主张，真正的平等要求国家“敏于志向，钝于禀赋”——即积极补偿个人无法选择的“坏运气”（如天赋、出身、突发灾难）所带来的劣势，同时坚决捍卫个人为其自主选择承担后果的责任空间。这不仅是一幅精致的理论蓝图，更是审视教育公平、福利政策、社会正义等一系列现实问题的锐利透镜。下文将循此思想脉络，探讨其在不同母题下的深层意蕴与实践启示。</w:t>
      </w:r>
    </w:p>
    <w:p>
      <w:pPr>
        <w:pStyle w:val="Heading3"/>
      </w:pPr>
      <w:r>
        <w:rPr>
          <w:rFonts w:ascii="SimSun" w:hAnsi="SimSun" w:eastAsia="SimSun"/>
        </w:rPr>
        <w:t>母题一：从“均等分发”到“因人施策”——论实质公平的深层逻辑</w:t>
      </w:r>
    </w:p>
    <w:p>
      <w:pPr>
        <w:ind w:firstLine="480"/>
      </w:pPr>
      <w:r>
        <w:rPr>
          <w:rFonts w:ascii="SimSun" w:hAnsi="SimSun" w:eastAsia="SimSun"/>
        </w:rPr>
        <w:t>德沃金的“平等的关怀”原则，首先要求我们进行一场认知革命：将公平的视角从资源投入的“均等”，转向发展机会与生活前景的“实质平等”。许多政策因其表面上的“一视同仁”而获得道义合法性，却可能无形中成为固化不公的帮凶。例如，全国统一的高考分数线，若无视不同地区教育资源的鸿沟，便可能让“寒门难出贵子”成为冷酷现实；人均等额的税收起征点，若忽视不同家庭的实际赡养负担，其累进性便大打折扣。德沃金犀利地指出，这种形式平等的要害在于，它漠视了每个人生命起点中那些“环境运气”的巨大差异。一个出身贫瘠乡村的孩子与一个成长于一线城市知识分子家庭的孩子，他们所面临的“认知世界”的难度天差地别，这并非他们自主选择的结果。因此，真正的公平政策，必须如为近视者配眼镜、为重灾区多配口罩一样，致力于识别并削平这些由偶然性带来的不公起点，让每个人都能站在一条经社会调节后尽可能平等的起跑线上，去追求属于自己的生活理想。</w:t>
      </w:r>
    </w:p>
    <w:p>
      <w:pPr>
        <w:ind w:firstLine="480"/>
      </w:pPr>
      <w:r>
        <w:rPr>
          <w:rFonts w:ascii="SimSun" w:hAnsi="SimSun" w:eastAsia="SimSun"/>
        </w:rPr>
      </w:r>
      <w:r>
        <w:rPr>
          <w:rFonts w:ascii="SimSun" w:hAnsi="SimSun" w:eastAsia="SimSun"/>
          <w:b/>
        </w:rPr>
        <w:t>当我们致力于通过资源倾斜来弥补“环境”造成的不公时，是否会无形中削弱对个人“选择”与“努力”价值的尊重，甚至催生新的依赖或不公？</w:t>
      </w:r>
      <w:r>
        <w:rPr>
          <w:rFonts w:ascii="SimSun" w:hAnsi="SimSun" w:eastAsia="SimSun"/>
        </w:rPr>
        <w:t xml:space="preserve"> 这是补偿逻辑面临的最大伦理诘问。更深一层，</w:t>
      </w:r>
      <w:r>
        <w:rPr>
          <w:rFonts w:ascii="SimSun" w:hAnsi="SimSun" w:eastAsia="SimSun"/>
          <w:b/>
        </w:rPr>
        <w:t>在社会实践中，如何清晰、公正且可操作地区分影响一个人境遇的“环境因素”与“个人选择”？这条看似清晰的界线，在复杂的生命经验中是否本身就是一个模糊且充满权力话语建构的领域？</w:t>
      </w:r>
      <w:r>
        <w:rPr>
          <w:rFonts w:ascii="SimSun" w:hAnsi="SimSun" w:eastAsia="SimSun"/>
        </w:rPr>
        <w:t xml:space="preserve"> 例如，一个人的“学习能力不足”，在多大程度上可归因于早期教育的缺失（环境），又在多大程度上关联于其后的自律与投入（选择）？</w:t>
      </w:r>
    </w:p>
    <w:p>
      <w:pPr>
        <w:ind w:firstLine="480"/>
      </w:pPr>
      <w:r>
        <w:rPr>
          <w:rFonts w:ascii="SimSun" w:hAnsi="SimSun" w:eastAsia="SimSun"/>
        </w:rPr>
        <w:t>德沃金“敏于志向，钝于禀赋”的智慧，正在于它并非倡导无差别的福利或结果均等，而是旨在构建一个让命运与选择尽可能匹配的正义框架。其精髓是动态平衡：制度应如精密的滤网，努力过滤掉“坏运气”的噪音——无论是先天禀赋的差异，还是后天社会环境的悬殊。这意味着，对偏远地区的教育投入、对残障人士的无障碍设施建设、对突发公共危机中弱势群体的优先救助，都不是“施舍”，而是正义社会对“非自愿劣势”的必要矫正，目的是让每个人的奋斗不再被偶然的厄运所绑架。与此同时，这个框架必须坚决守护个人为自己的“志向”负责的空间。你喜欢鱼子酱而致贫，社会无义务补偿；你选择安逸而不愿进取，便需坦然接受相应的生活水准。如此，社会奖赏才能精准地回应努力与才智，而非运气。因此，一个理想的公平社会，是制度上体现“钝于禀赋”的补偿智慧，与文化上弘扬“敏于志向”的责任伦理，二者相辅相成的结果。正如德沃金所言，平等关怀的真谛是“把每个人‘当作平等的人来对待’”，这既要求我们看见并抚平命运的褶皱，也要求我们尊重并严肃对待每个人自己书写的生命篇章。</w:t>
      </w:r>
    </w:p>
    <w:p>
      <w:pPr>
        <w:pStyle w:val="Heading3"/>
      </w:pPr>
      <w:r>
        <w:rPr>
          <w:rFonts w:ascii="SimSun" w:hAnsi="SimSun" w:eastAsia="SimSun"/>
        </w:rPr>
        <w:t>母题二：关怀的边界——社会应在何处为个人责任“兜底”？</w:t>
      </w:r>
    </w:p>
    <w:p>
      <w:pPr>
        <w:ind w:firstLine="480"/>
      </w:pPr>
      <w:r>
        <w:rPr>
          <w:rFonts w:ascii="SimSun" w:hAnsi="SimSun" w:eastAsia="SimSun"/>
        </w:rPr>
        <w:t>德沃金理论中关于“环境”与“选择”的经典区分，像一把锋利的手术刀，直接剖开了现代福利国家争论的核心病灶：社会集体责任的边界究竟应划在哪里？“爱吃鱼子酱而致贫”的假设案例之所以经典，正是因为它将同情心与个人责任的冲突推至极致。它迫使我们去思考，一个充满关怀的社会，是否应无限度地为所有“不幸”买单？德沃金的答案是否定的。他认为，源于明确个人偏好（选择）的困境，应由个体自己承担后果。破题的关键在于认识到，划定这条边界，绝非冷酷地推卸责任，而是对人之为人的基本尊严——自主性——的终极捍卫。如果我们为所有选择后果“兜底”，实质上等于将成年人视为无法负责的孩童，剥夺了其通过选择定义自我、塑造生活的自由与重量。因此，划界本身就是一项严肃的伦理实践，旨在平衡两种珍贵价值：对无辜受苦者的集体关怀，与对个体作为自主行动者的尊重。</w:t>
      </w:r>
    </w:p>
    <w:p>
      <w:pPr>
        <w:ind w:firstLine="480"/>
      </w:pPr>
      <w:r>
        <w:rPr>
          <w:rFonts w:ascii="SimSun" w:hAnsi="SimSun" w:eastAsia="SimSun"/>
        </w:rPr>
      </w:r>
      <w:r>
        <w:rPr>
          <w:rFonts w:ascii="SimSun" w:hAnsi="SimSun" w:eastAsia="SimSun"/>
          <w:b/>
        </w:rPr>
        <w:t>然而，如果一个人的“志向”或“偏好”（如追求艺术梦想而非实用专业）本身也是在特定的家庭背景、文化“环境”中潜移默化塑造的，那么，将由此导致的职业坎坷完全归咎于个人选择，是否也是一种简化与不公？</w:t>
      </w:r>
      <w:r>
        <w:rPr>
          <w:rFonts w:ascii="SimSun" w:hAnsi="SimSun" w:eastAsia="SimSun"/>
        </w:rPr>
        <w:t xml:space="preserve"> 这触及了“环境”与“选择”界限的模糊地带。更进一步，</w:t>
      </w:r>
      <w:r>
        <w:rPr>
          <w:rFonts w:ascii="SimSun" w:hAnsi="SimSun" w:eastAsia="SimSun"/>
          <w:b/>
        </w:rPr>
        <w:t>一个理想的社会，其平等关怀的目标，是致力于为每个人“梦想成真”提供平等的资源（如确保每个人都能买得起鱼子酱），还是仅限于保障每个人拥有追求梦想的“平等机会”（如提供基本教育让你有能力谋生，至于鱼子酱，请自己奋斗）？</w:t>
      </w:r>
      <w:r>
        <w:rPr>
          <w:rFonts w:ascii="SimSun" w:hAnsi="SimSun" w:eastAsia="SimSun"/>
        </w:rPr>
        <w:t xml:space="preserve"> 后者听似合理，但若个体间的现实条件（资源、人脉、信息）差异如天堑，“机会平等”是否会沦为一句华丽的空话？</w:t>
      </w:r>
    </w:p>
    <w:p>
      <w:pPr>
        <w:ind w:firstLine="480"/>
      </w:pPr>
      <w:r>
        <w:rPr>
          <w:rFonts w:ascii="SimSun" w:hAnsi="SimSun" w:eastAsia="SimSun"/>
        </w:rPr>
        <w:t>德沃金的框架并未给出简易的答案清单，而是提供了一个至关重要的元原则：正义要求我们追问“痛苦或劣势的来源”。社会的“兜底”责任，其道德力量应聚焦于那些个人完全无法负责的、由偶然性带来的苦难——先天残疾、自然灾害、家庭突遭变故，或是系统性社会歧视所造成的创伤。对这些“无选择的困境”，社会给予补偿是义之所在。相反，对于清晰源于自觉、可预见选择的后果（即便这选择在特定环境中形成），社会则应保持制度性的克制。这不是冷漠，而是为了维护一个让选择有意义、让责任有分量的社会架构。因此，构建一个公平社会，不仅需要设计精巧的补偿与福利制度，更需要培育一种健康的“责任文化”。在政策层面，这意味着要艰难但清晰地区分“雪中送炭”（如低保、救灾、特殊教育）与“锦上添花”（如高额文化消费补贴）；在公众讨论中，则需引导形成一种共识：权利与责任如同一枚硬币的两面，社会对“坏运气”的慷慨补偿，恰恰是为了让每个人在挣脱运气的束缚后，能更纯粹、更负责地行使自己“好选择”的权利。在这条动态的边界上，我们同时守护着社会的温暖与个体的挺拔。</w:t>
      </w:r>
    </w:p>
    <w:p>
      <w:pPr>
        <w:pStyle w:val="Heading3"/>
      </w:pPr>
      <w:r>
        <w:rPr>
          <w:rFonts w:ascii="SimSun" w:hAnsi="SimSun" w:eastAsia="SimSun"/>
        </w:rPr>
        <w:t>母题三：理想的图谱与现实的沙盘——论正义原则的实践张力</w:t>
      </w:r>
    </w:p>
    <w:p>
      <w:pPr>
        <w:ind w:firstLine="480"/>
      </w:pPr>
      <w:r>
        <w:rPr>
          <w:rFonts w:ascii="SimSun" w:hAnsi="SimSun" w:eastAsia="SimSun"/>
        </w:rPr>
        <w:t>德沃金的“平等的尊重与关怀”原则，在理论层面勾勒出一幅逻辑自洽、动人心弦的自由主义平等“理想图谱”。然而，一旦将其置于复杂、多元且充满利益博弈的现实“沙盘”中，它便立刻面临巨大的实践张力。原文中已隐含了这种困境：如何精确识别和衡量“不可选择的需求差异”？差异化分配如何避免陷入主观争议，甚至被指责为“逆向歧视”？例如，高校招生中的地区配额、种族平权措施，本意是补偿历史与地理造成的教育环境劣势，却在实施中常常引发“优待是否过头”、“谁更值得补偿”的激烈争论，甚至导致新的社群对立。这揭示了一个残酷的现实：旨在矫正不公的政策，本身可能在生产新的、关于“公平”的纷争。因此，破题必须直面理论“落地”的艰难，探讨完美的哲学原则如何在具体情境中调整、变形与实现。</w:t>
      </w:r>
    </w:p>
    <w:p>
      <w:pPr>
        <w:ind w:firstLine="480"/>
      </w:pPr>
      <w:r>
        <w:rPr>
          <w:rFonts w:ascii="SimSun" w:hAnsi="SimSun" w:eastAsia="SimSun"/>
        </w:rPr>
      </w:r>
      <w:r>
        <w:rPr>
          <w:rFonts w:ascii="SimSun" w:hAnsi="SimSun" w:eastAsia="SimSun"/>
          <w:b/>
        </w:rPr>
        <w:t>当一项旨在实现“实质公平”的差异化政策，在执行中反而引爆了关于“谁更应被补偿”的激烈社会分歧时，这是否意味着该政策本身已背离了“平等关怀”的初衷？还是说，这种争议恰恰是追求实质公平过程中无法避免的“必要代价”，是社会在寻找更公正方案时必须经历的公共辩论？</w:t>
      </w:r>
      <w:r>
        <w:rPr>
          <w:rFonts w:ascii="SimSun" w:hAnsi="SimSun" w:eastAsia="SimSun"/>
        </w:rPr>
        <w:t xml:space="preserve"> 此外，</w:t>
      </w:r>
      <w:r>
        <w:rPr>
          <w:rFonts w:ascii="SimSun" w:hAnsi="SimSun" w:eastAsia="SimSun"/>
          <w:b/>
        </w:rPr>
        <w:t>一个在哲学逻辑上近乎完美的正义理论，如果因其执行的高成本、高争议性而难以在宏大社会层面顺畅推行，那么它的主要价值，究竟是作为一套可操作的行动指南，还是更多在于作为一种批判性的思想标杆，用以照亮现实中的不公，并指引渐进的改革方向？</w:t>
      </w:r>
      <w:r>
        <w:rPr>
          <w:rFonts w:ascii="SimSun" w:hAnsi="SimSun" w:eastAsia="SimSun"/>
        </w:rPr>
      </w:r>
    </w:p>
    <w:p>
      <w:pPr>
        <w:ind w:firstLine="480"/>
      </w:pPr>
      <w:r>
        <w:rPr>
          <w:rFonts w:ascii="SimSun" w:hAnsi="SimSun" w:eastAsia="SimSun"/>
        </w:rPr>
        <w:t>德沃金理论最深刻的现实意义，或许正在于后者。它并未、也无法提供一套放之四海而皆准的机械执行方案。它的最大贡献，是确立了一个评判社会制度的高阶标尺和元原则——“是否把每个人当作平等的人来对待”。这一原则要求所有政策制定者必须进行一项严格的“思想实验”：这项政策是补偿了不应得的“坏运气”，还是不当干预了应得的“个人选择”？在实践中，这要求我们兼具“理念的纯粹”与“操作的智慧”。一方面，不能因为执行复杂、可能引发争议，就轻易退回到简单但冷漠的“形式平等”窠臼。认识到“补偿环境不公”这一内核方向的正確性，是任何实质性社会进步的前提。另一方面，在具体设计时，必须充分考量可行性、行政成本、文化接受度与社会心理。这意味着，实质公平的推进，往往需要通过渐进式的改善（如逐步调整招生指标公式）、程序的高度透明（公开补偿标准和数据），以及持续、理性的公共对话来凝聚重叠共识，化解疑虑。真正的社会进步，很少来自乌托邦式的全盘颠覆，而更多是在“理想图谱”的星光指引下，于“现实沙盘”的泥泞中一点点塑形。德沃金的智慧，在于它让我们在复杂的争议中不忘初衷：我们追求的，永远是一个能识别个体独特困境、并努力给予恰当回应的社会，一个无限趋近于“把每个人当作平等的人来对待”的应然世界。在这条永无止境的追寻之路上，思辨本身，就是最重要的实践。</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《西方现代思想讲义》 (刘擎) : 35.德沃金 什么样的平等才合理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