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SimSun" w:hAnsi="SimSun" w:eastAsia="SimSun"/>
        </w:rPr>
        <w:t>选择的尊荣与运气的重负——在现代社会构建有责任的公平</w:t>
      </w:r>
    </w:p>
    <w:p>
      <w:pPr>
        <w:ind w:firstLine="480"/>
      </w:pPr>
      <w:r>
        <w:rPr>
          <w:rFonts w:ascii="SimSun" w:hAnsi="SimSun" w:eastAsia="SimSun"/>
        </w:rPr>
        <w:t>当“躺平”与“内卷”之争充斥舆论场，当围绕福利政策的公平性质疑不绝于耳时，我们触及的正是现代社会最核心的伦理困境：何为真正的平等？法学家罗纳德·德沃金以其深邃的思考，为我们提供了一把关键的解剖刀。他的思想核心并非简单地拥抱平等，而是揭示了一种深刻的思辨张力：他挑战了那种要么追求结果均等、要么放任命运偶然的流行二分法，并深刻地揭示了平等与自由、个人责任与社会补偿之间看似无解的内在悖论。德沃金提出，合理的平等并非消除一切差异，而应是一种“敏于志向，钝于禀赋”的公平——社会制度应当敏锐地回应并尊重个人的选择与努力（志向），同时尽可能钝化那些个人无法负责的先天禀赋和坏运气的影响。这一洞见，不仅是对平等理论的精妙推进，更是我们审视当下诸多社会争议的思想透镜。下文将循此内核，解析其在两个关键母题中的璀璨光芒。</w:t>
      </w:r>
    </w:p>
    <w:p>
      <w:pPr>
        <w:pStyle w:val="Heading3"/>
      </w:pPr>
      <w:r>
        <w:rPr>
          <w:rFonts w:ascii="SimSun" w:hAnsi="SimSun" w:eastAsia="SimSun"/>
        </w:rPr>
        <w:t>母题一：国家“中立”与社会“引导”：自由与至善的永恒张力</w:t>
      </w:r>
    </w:p>
    <w:p>
      <w:pPr>
        <w:ind w:firstLine="480"/>
      </w:pPr>
      <w:r>
        <w:rPr>
          <w:rFonts w:ascii="SimSun" w:hAnsi="SimSun" w:eastAsia="SimSun"/>
        </w:rPr>
        <w:t>德沃金“平等的尊重”原则，要求国家像一位公正的舞台经理，对每位公民自主选择的生活剧本保持中立，不因某人热爱莎士比亚而偏爱，也不因某人痴迷短视频而征税惩戒。这种程序性中立，是现代自由主义的基石，它捍卫了选择的自主性与人格的尊严，防止国家权力以“高尚”之名，将一部分公民贬为实现某种集体理想的工具。然而，破题需深入这“中立性”的幽暗地带：当一个社会彻底放弃对“何为良善生活”的任何倡导，将一切价值选择完全交付于个人偏好与市场逻辑时，是否可能滑向一种文化上的“价值真空”？倘若追求即时满足、感官刺激的生活方式因更符合大众消费逻辑而无限扩张，而那些需要艰辛投入、深度思考的智识与艺术活动日渐边缘，这是否在长远上损耗了社会的文化资本、创新活力与公民理性？这不仅仅是自由与管制的表层矛盾，更是“消极自由”（免于外力干涉）与“积极自由”（实现人之为人的更高潜能）之间的深层哲学博弈。</w:t>
      </w:r>
    </w:p>
    <w:p>
      <w:pPr>
        <w:ind w:firstLine="480"/>
      </w:pPr>
      <w:r>
        <w:rPr>
          <w:rFonts w:ascii="SimSun" w:hAnsi="SimSun" w:eastAsia="SimSun"/>
        </w:rPr>
      </w:r>
      <w:r>
        <w:rPr>
          <w:rFonts w:ascii="SimSun" w:hAnsi="SimSun" w:eastAsia="SimSun"/>
          <w:b/>
        </w:rPr>
        <w:t>一个理想的社会，究竟是应作为所有生活方式“不偏不倚”的静态容器，还是应成为滋养文明向上生长的动态花园？当个人的自由选择（如沉浸在算法推送的娱乐碎片中）与社会的长远精神福祉存在潜在冲突时，“不直接伤害他人”这一经典的自由界限，是否足以应对这种弥散性、结构性的“软性伤害”？</w:t>
      </w:r>
      <w:r>
        <w:rPr>
          <w:rFonts w:ascii="SimSun" w:hAnsi="SimSun" w:eastAsia="SimSun"/>
        </w:rPr>
      </w:r>
    </w:p>
    <w:p>
      <w:pPr>
        <w:ind w:firstLine="480"/>
      </w:pPr>
      <w:r>
        <w:rPr>
          <w:rFonts w:ascii="SimSun" w:hAnsi="SimSun" w:eastAsia="SimSun"/>
        </w:rPr>
        <w:t>德沃金的方案启示我们，真正的平衡或许不在于强迫国家在“彻底放任”与“价值家长”之间做单选题。更高阶的立意在于构建一种“以程序公正为底色的社会对话生态”。国家的核心职责，在于通过法治与资源调配，坚决保障每个人平等的尊重与起点公平的关怀（如教育机会），这是不容撼动的底线。然而，将“何为值得追求的生活”这一问题的探讨与塑造，交还给一个由开放的公共领域、健全的公民社会和启迪性的教育体系所构成的、非强制性的文明对话场域。在此，个人的自主性神圣不可侵犯，但社会的精神高度与共同善，则有赖于无数自由的个体在交流、碰撞与反思中，实现自觉的向上追寻。正如德沃金所言，“我们要平等地尊重每个人自己选择的生活目标和方式”，但尊重不等于漠然，一个伟大的社会，会在保障选择权的同时，默默为那些通往更开阔、更深刻生活的路径点亮灯火，而非设置栅栏。</w:t>
      </w:r>
    </w:p>
    <w:p>
      <w:pPr>
        <w:pStyle w:val="Heading3"/>
      </w:pPr>
      <w:r>
        <w:rPr>
          <w:rFonts w:ascii="SimSun" w:hAnsi="SimSun" w:eastAsia="SimSun"/>
        </w:rPr>
        <w:t>母题二：公平的真义：“敏于志向”与“钝于禀赋”下的个人责任</w:t>
      </w:r>
    </w:p>
    <w:p>
      <w:pPr>
        <w:ind w:firstLine="480"/>
      </w:pPr>
      <w:r>
        <w:rPr>
          <w:rFonts w:ascii="SimSun" w:hAnsi="SimSun" w:eastAsia="SimSun"/>
        </w:rPr>
        <w:t>德沃金“敏于志向，钝于禀赋”的准则，为分配正义提供了一幅精妙而挑战性的蓝图。它要求我们像一位精细的裁判，努力区分命运交响曲中哪些乐章出自个人选择的音符（如为满足奢华口味而挥霍），哪些又是命运强加的杂音（如先天残疾或出身贫困）。社会应当补偿后者带来的不公，而要求个人对前者的后果负责。这一原则直指平均主义与冷酷放任主义之间的第三条道路。然而，破题的复杂性与深度正在于：在真实的人生叙事中，“志向”（个人选择）与“禀赋”（先天条件及早期环境）绝非泾渭分明，而是如藤蔓般深度缠绕。一个在贫困、缺乏鼓励的环境中长大的孩子，其“志向”很可能被环境早早局限，不敢梦想成为科学家或艺术家；而优渥家庭提供的见识、试错资本，则极大地拓展了“选择”的空间与底气。那么，要求那个被环境塑造了“低志向”的人，为其“选择”不去奋斗而承担全部后果，这在道德上是否完全成立？</w:t>
      </w:r>
    </w:p>
    <w:p>
      <w:pPr>
        <w:ind w:firstLine="480"/>
      </w:pPr>
      <w:r>
        <w:rPr>
          <w:rFonts w:ascii="SimSun" w:hAnsi="SimSun" w:eastAsia="SimSun"/>
        </w:rPr>
      </w:r>
      <w:r>
        <w:rPr>
          <w:rFonts w:ascii="SimSun" w:hAnsi="SimSun" w:eastAsia="SimSun"/>
          <w:b/>
        </w:rPr>
        <w:t>我们如何在现实世界中清晰剥离，一个人的失败或困境，究竟有多少成分是“自作自受”的选择苦果，有多少是其无法选择的出身与天赋所播下的必然种子？更进一步，“钝于禀赋”要求社会补偿先天劣势，这是否可能在客观上削弱对“勤奋”“坚韧”等后天美德的世俗激励？一个试图彻底熨平运气皱纹的绝对公平社会，是否会因其过于“平滑”而失去活力、冒险精神与出人意料的多样性？</w:t>
      </w:r>
      <w:r>
        <w:rPr>
          <w:rFonts w:ascii="SimSun" w:hAnsi="SimSun" w:eastAsia="SimSun"/>
        </w:rPr>
      </w:r>
    </w:p>
    <w:p>
      <w:pPr>
        <w:ind w:firstLine="480"/>
      </w:pPr>
      <w:r>
        <w:rPr>
          <w:rFonts w:ascii="SimSun" w:hAnsi="SimSun" w:eastAsia="SimSun"/>
        </w:rPr>
        <w:t>德沃金的深刻之处在于，他将公平视为一种塑造伦理人格的制度艺术。其方案的核心启示是：正义的社会制度，目标远不止于物质资源的再分配，更在于培育一种健康的“责任伦理”。它通过“钝于禀赋”——即补偿那些最残酷的运气不公（如基本医疗、教育保障）——来彰显共同体不可或缺的慈悲与团结，确保每个人不因命运的任意发牌而跌出做人的起跑线。同时，它通过“敏于志向”——即尊重并让个人承担其可负责的选择后果——来锻造公民的理性、远见与担当。真正的平等，不是让所有人都站在同一终点，而是通过制度设计，尽可能让每个人站在因禀赋和初始运气导致的悬殊差距被适度矫正的起跑线上，然后，尊重并严肃对待他们各自选择奔跑方向与速度的权利。这旨在使每个人，都能在社会的托举与自我的负责中，成为自身生命故事有分量的作者，而非全然无辜的受害者或仅凭运气成功的幸运儿。</w:t>
      </w:r>
    </w:p>
    <w:p>
      <w:pPr>
        <w:ind w:firstLine="480"/>
      </w:pPr>
      <w:r>
        <w:rPr>
          <w:rFonts w:ascii="SimSun" w:hAnsi="SimSun" w:eastAsia="SimSun"/>
        </w:rPr>
        <w:t>---</w:t>
      </w:r>
    </w:p>
    <w:p>
      <w:pPr>
        <w:ind w:firstLine="480"/>
      </w:pPr>
      <w:r>
        <w:rPr>
          <w:rFonts w:ascii="SimSun" w:hAnsi="SimSun" w:eastAsia="SimSun"/>
        </w:rPr>
      </w:r>
      <w:r>
        <w:rPr>
          <w:rFonts w:ascii="SimSun" w:hAnsi="SimSun" w:eastAsia="SimSun"/>
          <w:b/>
        </w:rPr>
        <w:t>参考资料</w:t>
      </w:r>
      <w:r>
        <w:rPr>
          <w:rFonts w:ascii="SimSun" w:hAnsi="SimSun" w:eastAsia="SimSun"/>
        </w:rPr>
        <w:t>：</w:t>
      </w:r>
    </w:p>
    <w:p>
      <w:pPr>
        <w:pStyle w:val="ListBullet"/>
      </w:pPr>
      <w:r>
        <w:rPr>
          <w:rFonts w:ascii="SimSun" w:hAnsi="SimSun" w:eastAsia="SimSun"/>
        </w:rPr>
        <w:t>《西方现代思想讲义》 (刘擎) : 35.德沃金 什么样的平等才合理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