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选择的疆域与运气的补偿——走向一种负责任的平等</w:t>
      </w:r>
    </w:p>
    <w:p>
      <w:pPr>
        <w:ind w:firstLine="480"/>
      </w:pPr>
      <w:r>
        <w:rPr>
          <w:rFonts w:ascii="SimSun" w:hAnsi="SimSun" w:eastAsia="SimSun"/>
        </w:rPr>
        <w:t>在日趋激烈的社会竞争中，人们对“公平”的吁求日益高涨，但究竟何为“平等”却愈发模糊。我们既反感“躺平者”坐享其成，又同情“输在起跑线”上的不幸者，更警惕“劫富济贫”式的粗暴干预。政治哲学家罗纳德·德沃金的思想，恰为这一现代性困境提供了一把精密的钥匙。他的核心思辨张力在于，他挑战了将“平等”简单等同于“平均”或“起点相同”的流行观念，揭示了平等内在的深刻悖论：</w:t>
      </w:r>
      <w:r>
        <w:rPr>
          <w:rFonts w:ascii="SimSun" w:hAnsi="SimSun" w:eastAsia="SimSun"/>
          <w:b/>
        </w:rPr>
        <w:t>实现一种平等（如结果平等），往往会损害另一种平等（如机会平等或尊严平等）</w:t>
      </w:r>
      <w:r>
        <w:rPr>
          <w:rFonts w:ascii="SimSun" w:hAnsi="SimSun" w:eastAsia="SimSun"/>
        </w:rPr>
        <w:t>。为此，他提出了“敏于志向，钝于禀赋”的核心原则，试图在自由与平等、个人选择与偶然运气之间，划出一条清晰的道德边界。这不仅是一种理论建构，更是一份面向复杂现实的实践指南。下文将借由两则议论文母题，展开德沃金思想的光谱，探讨其如何照亮我们关于自我与社会的根本追问。</w:t>
      </w:r>
    </w:p>
    <w:p>
      <w:pPr>
        <w:pStyle w:val="Heading3"/>
      </w:pPr>
      <w:r>
        <w:rPr>
          <w:rFonts w:ascii="SimSun" w:hAnsi="SimSun" w:eastAsia="SimSun"/>
        </w:rPr>
        <w:t>母题一：自我塑造的边界</w:t>
      </w:r>
    </w:p>
    <w:p>
      <w:pPr>
        <w:ind w:firstLine="480"/>
      </w:pPr>
      <w:r>
        <w:rPr>
          <w:rFonts w:ascii="SimSun" w:hAnsi="SimSun" w:eastAsia="SimSun"/>
        </w:rPr>
        <w:t>德沃金的“敏于志向，钝于禀赋”原则，从根本上重构了我们理解个人成功的坐标系。破题的关键在于洞察人之存在的双重性：人既是挥舞自由意志、通过“志向”主动雕刻生活的“主体”，同时又是被遗传、家庭、时代等“禀赋”与“运气”所塑造乃至限制的“客体”。例如，一位寒门学子考入名校，这其中有多少应归功于他焚膏继晷的“选择”，又有多少得益于其虽贫寒却未遭重大变故、且天生具备一定学习能力的“运气”？德沃金的理论要求我们进行一场严谨的道德审计：社会奖赏应聚焦于前者，而补偿机制应覆盖后者。这并非否定努力，而是为了更公正地评价努力——只有当排除了运气的干扰，努力的价值才真正澄明。它让我们超越“我的一切成就全靠自己”的盲目自豪，或“一切皆由命定”的消极宿命，去审视个人能动性那真实而有限的疆域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当一个人的“志向”（如热爱艺术）本身可能深受其“禀赋”（如家庭的艺术氛围）影响时，社会应如何公正地评判他的成功与失败？我们真的能清晰区分“我是谁”与“我选择了成为谁”吗？</w:t>
      </w:r>
      <w:r>
        <w:rPr>
          <w:rFonts w:ascii="SimSun" w:hAnsi="SimSun" w:eastAsia="SimSun"/>
        </w:rPr>
        <w:t xml:space="preserve"> 这一问题击中了德沃金理论在实践中的复杂性。我们的偏好与抱负，往往在潜移默化中被早期环境所塑造，纯粹的、不受运气影响的“志向”或许是一个理想类型。这警示我们，在应用“敏于志向”原则时，需怀有必要的审慎与同情，避免将受环境深刻影响的“次优选择”武断地全部归咎于个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对社会而言，补偿“坏运气”（如残疾）与不干预“选择后果”（如挥霍致贫）的边界在哪里？过度补偿是否会削弱个人责任，而严格问责又是否会沦为对不幸者的冷酷？</w:t>
      </w:r>
      <w:r>
        <w:rPr>
          <w:rFonts w:ascii="SimSun" w:hAnsi="SimSun" w:eastAsia="SimSun"/>
        </w:rPr>
        <w:t xml:space="preserve"> 这要求制度设计必须具备精细的辨别力。边界或许在于，判断不利处境是否源自当事人真实、知情且可负担代价的</w:t>
      </w:r>
      <w:r>
        <w:rPr>
          <w:rFonts w:ascii="SimSun" w:hAnsi="SimSun" w:eastAsia="SimSun"/>
          <w:b/>
        </w:rPr>
        <w:t>自愿选择</w:t>
      </w:r>
      <w:r>
        <w:rPr>
          <w:rFonts w:ascii="SimSun" w:hAnsi="SimSun" w:eastAsia="SimSun"/>
        </w:rPr>
        <w:t>。对于因沉溺奢侈消费而致贫者，社会无义务补偿其“鱼子酱偏好”；但对于因缺乏基本金融教育而陷入陷阱的穷人，其“坏运气”的成分则需被纳入考量。</w:t>
      </w:r>
    </w:p>
    <w:p>
      <w:pPr>
        <w:ind w:firstLine="480"/>
      </w:pPr>
      <w:r>
        <w:rPr>
          <w:rFonts w:ascii="SimSun" w:hAnsi="SimSun" w:eastAsia="SimSun"/>
        </w:rPr>
        <w:t>立意进阶在于，德沃金理想的平等观，其终极目的并非追求人生剧本的雷同或结果的均等，而是致力于搭建一个让生命绽放独特光彩的舞台。在这个舞台上，制度的作用是“钝化”禀赋差异带来的不公——通过普及教育、基本医疗、社会保障，尽可能抹平命运的偶然刮痕，打造一个公平的“竞技场”。与此同时，社会又必须“敏锐”地欣赏并奖励个人在此赛场上，基于其所能负责的范围内做出的选择、付出的汗水与展现的创意。对个体而言，生命的尊严与价值，正体现在这种清醒的自觉之中：坦然接纳运气的一切馈赠与剥夺，承认有些优势并非自己应得，有些障碍亦非自身过错；继而，在命运所划定的、或宽或窄的疆域之内，以最大的诚意与勇气，为那些真正属于自己的“选择”负起全部责任。正是在这种对有限自由的全力运用中，人方能活出生命的重量与不可复制的轨迹。</w:t>
      </w:r>
    </w:p>
    <w:p>
      <w:pPr>
        <w:pStyle w:val="Heading3"/>
      </w:pPr>
      <w:r>
        <w:rPr>
          <w:rFonts w:ascii="SimSun" w:hAnsi="SimSun" w:eastAsia="SimSun"/>
        </w:rPr>
        <w:t>母题二：正义之手的温度</w:t>
      </w:r>
    </w:p>
    <w:p>
      <w:pPr>
        <w:ind w:firstLine="480"/>
      </w:pPr>
      <w:r>
        <w:rPr>
          <w:rFonts w:ascii="SimSun" w:hAnsi="SimSun" w:eastAsia="SimSun"/>
        </w:rPr>
        <w:t>德沃金的平等理论，为社会资源的分配与制度设计提供了一份充满张力的“操作手册”。它要求那只“正义之手”在挥舞时，既能传递温暖的关怀，又必须保持冰冷的理性。破题可以从我们身边常见的政策争议切入：低保政策应如何防止“养懒汉”？重点大学的招生名额是否应向农村地区倾斜？累进税制是否挫伤创造财富的积极性？这些争议的本质，都是德沃金所指出的核心困境：如何既避免因补偿“禀赋”而滑向扼杀活力的平均主义，又防止因崇尚“志向”而堕入对不幸者处境漠不关心的社会达尔文主义？德沃金的方案是进行精细的归因：社会应慷慨补偿那些由“坏运气”（如先天残疾、出生贫困）导致的劣势，因为这非个人选择所致；同时应坚决要求个人承担由自身“志向”与偏好（如追求高风险投资、奢侈消费）带来的后果，无论其好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一个因“坏运气”（如出生贫困）而缺乏机会的人，后来通过自身努力改变了命运，社会早期的补偿是否削弱了他成就的道德光芒？反之，如果一个因“好运气”（如天赋）而成功的人，其成就多大程度上值得赞扬？</w:t>
      </w:r>
      <w:r>
        <w:rPr>
          <w:rFonts w:ascii="SimSun" w:hAnsi="SimSun" w:eastAsia="SimSun"/>
        </w:rPr>
        <w:t xml:space="preserve"> 这一追问促使我们反思“应得”的深度。德沃金的框架下，社会早期补偿旨在抵消“坏运气”，是为其搭建能正常施展“志向”的舞台，而非替其赛跑。因此，个人后来取得的成就，恰恰是其“志向”在公平舞台上运行的明证，其道德光芒不仅未被削弱，反而因起点的不利而更显璀璨。反之，天赋卓绝者的成就，其值得赞扬的部分，应严格限定于他如何运用此天赋所做的</w:t>
      </w:r>
      <w:r>
        <w:rPr>
          <w:rFonts w:ascii="SimSun" w:hAnsi="SimSun" w:eastAsia="SimSun"/>
          <w:b/>
        </w:rPr>
        <w:t>努力与选择</w:t>
      </w:r>
      <w:r>
        <w:rPr>
          <w:rFonts w:ascii="SimSun" w:hAnsi="SimSun" w:eastAsia="SimSun"/>
        </w:rPr>
        <w:t>上，而非天赋本身这份“彩票奖金”。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社会对“禀赋不利者”的补偿，应以“拉平起点”为目标，还是以保障其“作为平等者被对待”的基本尊严为限？前者是否可能永无止境且干涉过度，后者又如何定义“基本尊严”的具体标准？</w:t>
      </w:r>
      <w:r>
        <w:rPr>
          <w:rFonts w:ascii="SimSun" w:hAnsi="SimSun" w:eastAsia="SimSun"/>
        </w:rPr>
        <w:t xml:space="preserve"> “拉平起点”是一个极易滑向无限要求的迷思，且可能侵犯他人正当权益。德沃金“当作平等的人来对待”的原则提供了更可行的指引：补偿的标准并非让所有人站在绝对相同的起跑线，而是通过制度调整，确保每个人不因无法选择的因素，被剥夺参与社会合作与追求自身人生计划的</w:t>
      </w:r>
      <w:r>
        <w:rPr>
          <w:rFonts w:ascii="SimSun" w:hAnsi="SimSun" w:eastAsia="SimSun"/>
          <w:b/>
        </w:rPr>
        <w:t>基本能力与机会</w:t>
      </w:r>
      <w:r>
        <w:rPr>
          <w:rFonts w:ascii="SimSun" w:hAnsi="SimSun" w:eastAsia="SimSun"/>
        </w:rPr>
        <w:t>。例如，保障残疾人的无障碍设施，是确保其“作为平等者”参与社会生活；而非要求所有人都获得完全相同的体能。</w:t>
      </w:r>
    </w:p>
    <w:p>
      <w:pPr>
        <w:ind w:firstLine="480"/>
      </w:pPr>
      <w:r>
        <w:rPr>
          <w:rFonts w:ascii="SimSun" w:hAnsi="SimSun" w:eastAsia="SimSun"/>
        </w:rPr>
        <w:t>立意进阶在于，一个良序社会的最高理想，并非通过财富的机械转移实现表面均等，而是通过精巧的制度设计，完成一次深刻的“赋能”。它的目标是将“运气”的专横影响力从人生游戏中尽可能剥离，使每个人的人生前景，更多地取决于那份自己能负责的“志向”答卷。这样的补偿机制，其温度体现在“授人以渔”的智慧上——它提供的是教育、健康、公平的竞争规则，是让个体能自主规划和承担责任的“可行能力集”。它最终捍卫的，是两种不可剥夺的尊严：一是</w:t>
      </w:r>
      <w:r>
        <w:rPr>
          <w:rFonts w:ascii="SimSun" w:hAnsi="SimSun" w:eastAsia="SimSun"/>
          <w:b/>
        </w:rPr>
        <w:t>基础尊严</w:t>
      </w:r>
      <w:r>
        <w:rPr>
          <w:rFonts w:ascii="SimSun" w:hAnsi="SimSun" w:eastAsia="SimSun"/>
        </w:rPr>
        <w:t>，即不因无法选择的出身与天赋而被预先判定命运的资格；二是</w:t>
      </w:r>
      <w:r>
        <w:rPr>
          <w:rFonts w:ascii="SimSun" w:hAnsi="SimSun" w:eastAsia="SimSun"/>
          <w:b/>
        </w:rPr>
        <w:t>成就尊严</w:t>
      </w:r>
      <w:r>
        <w:rPr>
          <w:rFonts w:ascii="SimSun" w:hAnsi="SimSun" w:eastAsia="SimSun"/>
        </w:rPr>
        <w:t>，即在公平条件下，通过自由选择并承担其后果而赢得的完整人格与社会尊重。这要求我们的制度同时具备两种看似矛盾的特质：对瓦解偶然性不公的“钝感力”，与对激发和保护个人自主性的“敏锐心”。唯有如此，正义之手在抚平命运皱纹时，才不会同时扼杀生命蓬勃向上的力量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35.德沃金 什么样的平等才合理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