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SimSun" w:hAnsi="SimSun" w:eastAsia="SimSun"/>
        </w:rPr>
        <w:t>理性的“人间”转向：为“诸神之争”时代重建对话规范</w:t>
      </w:r>
    </w:p>
    <w:p>
      <w:pPr>
        <w:ind w:firstLine="480"/>
      </w:pPr>
      <w:r>
        <w:rPr>
          <w:rFonts w:ascii="SimSun" w:hAnsi="SimSun" w:eastAsia="SimSun"/>
        </w:rPr>
        <w:t>当现代社会深陷价值多元的“诸神之争”，公共讨论往往沦为自说自话的独白或弱肉强食的策略游戏时，我们是否已默认，理性的共识只是昨日幻梦？德国思想家尤尔根·哈贝马斯以其深邃的哲学建构，对此发起了一场关键性的挑战。他的核心思辨张力在于：</w:t>
      </w:r>
      <w:r>
        <w:rPr>
          <w:rFonts w:ascii="SimSun" w:hAnsi="SimSun" w:eastAsia="SimSun"/>
          <w:b/>
        </w:rPr>
        <w:t>他拒绝了马克斯·韦伯关于理性注定分裂为工具理性与主观价值理性的悲观定论，转而揭示了一个被忽视的深刻可能——理性，可以统一并实现于人与人之间的交往对话之中。</w:t>
      </w:r>
      <w:r>
        <w:rPr>
          <w:rFonts w:ascii="SimSun" w:hAnsi="SimSun" w:eastAsia="SimSun"/>
        </w:rPr>
        <w:t xml:space="preserve"> 哈贝马斯将解决现代性规范危机的基础，从天上的神谕与地上的孤立个体，坚定地转向了“人间”，即“主体间性”（inter-subjectivity）。他区分了旨在操纵的“策略行动”与旨在理解的“交往行动”，并论证了内嵌于语言结构本身的“交往理性”，才是我们重建公共生活规范、抵御工具理性殖民“生活世界”的希望在。本文将以他的思想为镜，探讨这一“人间”转向如何照亮我们时代的对话困境与公共生活的可能路径。</w:t>
      </w:r>
    </w:p>
    <w:p>
      <w:pPr>
        <w:pStyle w:val="Heading3"/>
      </w:pPr>
      <w:r>
        <w:rPr>
          <w:rFonts w:ascii="SimSun" w:hAnsi="SimSun" w:eastAsia="SimSun"/>
        </w:rPr>
        <w:t>母题一：理想言谈：乌托邦还是必要的路标？</w:t>
      </w:r>
    </w:p>
    <w:p>
      <w:pPr>
        <w:ind w:firstLine="480"/>
      </w:pPr>
      <w:r>
        <w:rPr>
          <w:rFonts w:ascii="SimSun" w:hAnsi="SimSun" w:eastAsia="SimSun"/>
        </w:rPr>
        <w:t>破题角度常始于一个尖锐的质疑：哈贝马斯设想的“理想言谈情景”——要求对话者平等、自由、真诚且只服从更好论证的力量——在现实中可能实现吗？当对话被权力、资本、情绪与偏见层层包裹时，这难道不是一种天真的乌托邦？哈贝马斯的深刻之处，恰恰在于他通过一个精妙的比喻预见了这一批评：“完美的圆”。几何学上定义的“圆”在现实中无人能徒手画出，但这一“理想型”标准却不可或缺，因为它让我们能够判断哪个圆画得“更圆”，并指导我们如何使用圆规去趋近它。同理，“交往理性”与“理想言谈情景”并非一份必须复制的现实蓝图，而是一个</w:t>
      </w:r>
      <w:r>
        <w:rPr>
          <w:rFonts w:ascii="SimSun" w:hAnsi="SimSun" w:eastAsia="SimSun"/>
          <w:b/>
        </w:rPr>
        <w:t>批判性的建构标准和诊断工具</w:t>
      </w:r>
      <w:r>
        <w:rPr>
          <w:rFonts w:ascii="SimSun" w:hAnsi="SimSun" w:eastAsia="SimSun"/>
        </w:rPr>
        <w:t>。它的力量不在于被完美践行，而在于为我们提供了一个清晰的理性尺度，用以识别现实中哪些对话是伪装成理性的“策略行动”（如政治话术、广告操纵），哪些是真诚趋向理解的努力。破题的关键，在于将问题从“能否实现”的静态质疑，转向“如何以它为尺度，去批判、改善现实沟通”的动态实践。</w:t>
      </w:r>
    </w:p>
    <w:p>
      <w:pPr>
        <w:ind w:firstLine="480"/>
      </w:pPr>
      <w:r>
        <w:rPr>
          <w:rFonts w:ascii="SimSun" w:hAnsi="SimSun" w:eastAsia="SimSun"/>
        </w:rPr>
      </w:r>
      <w:r>
        <w:rPr>
          <w:rFonts w:ascii="SimSun" w:hAnsi="SimSun" w:eastAsia="SimSun"/>
          <w:b/>
        </w:rPr>
        <w:t>当现实中的对话往往被权力、利益与情绪裹挟时，一个在现实中几乎无法完全实现的“理想言谈标准”，其真正的力量与意义究竟何在？</w:t>
      </w:r>
      <w:r>
        <w:rPr>
          <w:rFonts w:ascii="SimSun" w:hAnsi="SimSun" w:eastAsia="SimSun"/>
        </w:rPr>
      </w:r>
    </w:p>
    <w:p>
      <w:pPr>
        <w:ind w:firstLine="480"/>
      </w:pPr>
      <w:r>
        <w:rPr>
          <w:rFonts w:ascii="SimSun" w:hAnsi="SimSun" w:eastAsia="SimSun"/>
        </w:rPr>
        <w:t>这迫使我们思考，标准的意义是否仅在于被百分之百地遵守？抑或，它首先是一面镜子，映照出现实的扭曲与不足，从而激发变革的意愿与方向。</w:t>
      </w:r>
    </w:p>
    <w:p>
      <w:pPr>
        <w:ind w:firstLine="480"/>
      </w:pPr>
      <w:r>
        <w:rPr>
          <w:rFonts w:ascii="SimSun" w:hAnsi="SimSun" w:eastAsia="SimSun"/>
        </w:rPr>
      </w:r>
      <w:r>
        <w:rPr>
          <w:rFonts w:ascii="SimSun" w:hAnsi="SimSun" w:eastAsia="SimSun"/>
          <w:b/>
        </w:rPr>
        <w:t>我们应如何运用这个“理想型”标准，去应对和转化现实中那些以“策略行动”为主导的、看似理性的对话（例如某些商业谈判或政治表演）？</w:t>
      </w:r>
      <w:r>
        <w:rPr>
          <w:rFonts w:ascii="SimSun" w:hAnsi="SimSun" w:eastAsia="SimSun"/>
        </w:rPr>
      </w:r>
    </w:p>
    <w:p>
      <w:pPr>
        <w:ind w:firstLine="480"/>
      </w:pPr>
      <w:r>
        <w:rPr>
          <w:rFonts w:ascii="SimSun" w:hAnsi="SimSun" w:eastAsia="SimSun"/>
        </w:rPr>
        <w:t>这要求我们不仅进行道德谴责，更学会进行“理性批判”：即依据交往理性的有效性要求（如是否真诚、是否歪曲事实），去解构那些策略性言谈，并尝试在对话中坚持和呼吁回归“更好理由”的竞争。</w:t>
      </w:r>
    </w:p>
    <w:p>
      <w:pPr>
        <w:ind w:firstLine="480"/>
      </w:pPr>
      <w:r>
        <w:rPr>
          <w:rFonts w:ascii="SimSun" w:hAnsi="SimSun" w:eastAsia="SimSun"/>
        </w:rPr>
        <w:t>立意进阶要求我们超越非此即彼的思维。哈贝马斯的方案之所以强大，正是因为它悬置了对终极共识的幻想，却牢固确立了达成共识的</w:t>
      </w:r>
      <w:r>
        <w:rPr>
          <w:rFonts w:ascii="SimSun" w:hAnsi="SimSun" w:eastAsia="SimSun"/>
          <w:b/>
        </w:rPr>
        <w:t>理性程序</w:t>
      </w:r>
      <w:r>
        <w:rPr>
          <w:rFonts w:ascii="SimSun" w:hAnsi="SimSun" w:eastAsia="SimSun"/>
        </w:rPr>
        <w:t>。如核心思想卡所言，他并非“为问题设定了一个理想的答案”，而是指出了“我们有一种讨论问题的理想方式”。这标志着一种思维范式的转变：公共生活的希望，不再寄托于某个伟人或单一真理的降临，而在于所有参与者能否共同承诺，遵循一种可被理性审查、追求相互理解的交往方式。因此，“理想言谈”绝非空想，它是一种持续的文明实践与伦理承诺，是抵御工具理性对“生活世界”进行殖民的日常抗争。每一次我们拒绝人身攻击、要求对方出示证据、坦诚自己观点的局限，都是在运用这个“路标”，让现实的对话向理性的光芒靠近一寸。</w:t>
      </w:r>
    </w:p>
    <w:p>
      <w:pPr>
        <w:pStyle w:val="Heading3"/>
      </w:pPr>
      <w:r>
        <w:rPr>
          <w:rFonts w:ascii="SimSun" w:hAnsi="SimSun" w:eastAsia="SimSun"/>
        </w:rPr>
        <w:t>母题二：理性的“人间”转向：从独白到对话</w:t>
      </w:r>
    </w:p>
    <w:p>
      <w:pPr>
        <w:ind w:firstLine="480"/>
      </w:pPr>
      <w:r>
        <w:rPr>
          <w:rFonts w:ascii="SimSun" w:hAnsi="SimSun" w:eastAsia="SimSun"/>
        </w:rPr>
        <w:t>韦伯的困境在于，他将理性的根基锚定在孤立的“主体性”之上，一旦世界祛魅，个体价值判断便陷入无可调和的“诸神之争”。哈贝马斯的革命性突破，在于将理性重建的基点，从“主体之内”毅然转向“</w:t>
      </w:r>
      <w:r>
        <w:rPr>
          <w:rFonts w:ascii="SimSun" w:hAnsi="SimSun" w:eastAsia="SimSun"/>
          <w:b/>
        </w:rPr>
        <w:t>主体之间</w:t>
      </w:r>
      <w:r>
        <w:rPr>
          <w:rFonts w:ascii="SimSun" w:hAnsi="SimSun" w:eastAsia="SimSun"/>
        </w:rPr>
        <w:t>”，即“在人间”。这一转向揭示：个体的理性并非先验、自足且封闭的城堡，而是在与他者的提问、回应、质疑与辩护中被唤醒、塑造和验证的。公共规范的理性基础，因而不再可能源于某个哲王的独白式发现，而必须孕育于无数平等主体在对话网络中“一起把道理讲通”的动态、生成性过程。破题的核心在于阐明，理性的统一性与规范性，深植于人类作为一种“语言交往存在”的本体论社会结构之中。对话，不是理性的可选装饰，而是理性得以成其为理性的构成性条件。</w:t>
      </w:r>
    </w:p>
    <w:p>
      <w:pPr>
        <w:ind w:firstLine="480"/>
      </w:pPr>
      <w:r>
        <w:rPr>
          <w:rFonts w:ascii="SimSun" w:hAnsi="SimSun" w:eastAsia="SimSun"/>
        </w:rPr>
      </w:r>
      <w:r>
        <w:rPr>
          <w:rFonts w:ascii="SimSun" w:hAnsi="SimSun" w:eastAsia="SimSun"/>
          <w:b/>
        </w:rPr>
        <w:t>如果个人的理性与价值判断必须置于主体间的对话中才能确立其有效性与正当性，这是否意味着绝对的个体自主性只是一个幻象？我们如何在交往中既保持独特的自我，又实现真正的相互理解？</w:t>
      </w:r>
      <w:r>
        <w:rPr>
          <w:rFonts w:ascii="SimSun" w:hAnsi="SimSun" w:eastAsia="SimSun"/>
        </w:rPr>
      </w:r>
    </w:p>
    <w:p>
      <w:pPr>
        <w:ind w:firstLine="480"/>
      </w:pPr>
      <w:r>
        <w:rPr>
          <w:rFonts w:ascii="SimSun" w:hAnsi="SimSun" w:eastAsia="SimSun"/>
        </w:rPr>
        <w:t>这一提问触及了现代性中个体与共同体张力的核心。它暗示，真正的自主性可能不是前社会的“原子式自由”，而是在与他者的理性交往中，通过反思与辩护而获得的、更具理性根基的“交往性自主”。</w:t>
      </w:r>
    </w:p>
    <w:p>
      <w:pPr>
        <w:ind w:firstLine="480"/>
      </w:pPr>
      <w:r>
        <w:rPr>
          <w:rFonts w:ascii="SimSun" w:hAnsi="SimSun" w:eastAsia="SimSun"/>
        </w:rPr>
      </w:r>
      <w:r>
        <w:rPr>
          <w:rFonts w:ascii="SimSun" w:hAnsi="SimSun" w:eastAsia="SimSun"/>
          <w:b/>
        </w:rPr>
        <w:t>当对话无法达成共识，甚至陷入僵局时，是证明了交往理性的失败，还是恰恰凸显了继续对话、澄清前提、反思自身的必要性？</w:t>
      </w:r>
      <w:r>
        <w:rPr>
          <w:rFonts w:ascii="SimSun" w:hAnsi="SimSun" w:eastAsia="SimSun"/>
        </w:rPr>
      </w:r>
    </w:p>
    <w:p>
      <w:pPr>
        <w:ind w:firstLine="480"/>
      </w:pPr>
      <w:r>
        <w:rPr>
          <w:rFonts w:ascii="SimSun" w:hAnsi="SimSun" w:eastAsia="SimSun"/>
        </w:rPr>
        <w:t>这引导我们区分“共识”作为结果与“追求理解”作为过程。僵局或许暴露了深层的价值分歧或未被言明的前提，而这本身正是交往理性要求我们深入挖掘和反思的契机，而非中止对话的理由。</w:t>
      </w:r>
    </w:p>
    <w:p>
      <w:pPr>
        <w:ind w:firstLine="480"/>
      </w:pPr>
      <w:r>
        <w:rPr>
          <w:rFonts w:ascii="SimSun" w:hAnsi="SimSun" w:eastAsia="SimSun"/>
        </w:rPr>
        <w:t>立意进阶在于领悟哈贝马斯思想的民主内核与平民精神。他将解决现代性危机的希望，从寻找全知全能的主体（神、君主、哲学王），谦逊地转向了激活</w:t>
      </w:r>
      <w:r>
        <w:rPr>
          <w:rFonts w:ascii="SimSun" w:hAnsi="SimSun" w:eastAsia="SimSun"/>
          <w:b/>
        </w:rPr>
        <w:t>每一个平凡个体在平等对话中所蕴含的理性潜能</w:t>
      </w:r>
      <w:r>
        <w:rPr>
          <w:rFonts w:ascii="SimSun" w:hAnsi="SimSun" w:eastAsia="SimSun"/>
        </w:rPr>
        <w:t>。“交往理性”因而是一种弥漫于日常生活的、去中心化的理性力量。它宣告，理性的权威不再源自某个高高在上、不容置疑的独白式声音，而是源于对话过程本身的</w:t>
      </w:r>
      <w:r>
        <w:rPr>
          <w:rFonts w:ascii="SimSun" w:hAnsi="SimSun" w:eastAsia="SimSun"/>
          <w:b/>
        </w:rPr>
        <w:t>程序正当性与理由的可信服性</w:t>
      </w:r>
      <w:r>
        <w:rPr>
          <w:rFonts w:ascii="SimSun" w:hAnsi="SimSun" w:eastAsia="SimSun"/>
        </w:rPr>
        <w:t>。共识成为一种在自由、平等对话中</w:t>
      </w:r>
      <w:r>
        <w:rPr>
          <w:rFonts w:ascii="SimSun" w:hAnsi="SimSun" w:eastAsia="SimSun"/>
          <w:b/>
        </w:rPr>
        <w:t>生成</w:t>
      </w:r>
      <w:r>
        <w:rPr>
          <w:rFonts w:ascii="SimSun" w:hAnsi="SimSun" w:eastAsia="SimSun"/>
        </w:rPr>
        <w:t>的成果，而非被权威</w:t>
      </w:r>
      <w:r>
        <w:rPr>
          <w:rFonts w:ascii="SimSun" w:hAnsi="SimSun" w:eastAsia="SimSun"/>
          <w:b/>
        </w:rPr>
        <w:t>给予</w:t>
      </w:r>
      <w:r>
        <w:rPr>
          <w:rFonts w:ascii="SimSun" w:hAnsi="SimSun" w:eastAsia="SimSun"/>
        </w:rPr>
        <w:t>的教条。因此，培育一个健康的社会，关键不在于产出多少善于“理性独白”的精英，而在于精心灌溉能让“交往理性”蓬勃生长的公共领域与文化土壤——包括教育中对批判性思维与倾听能力的培养，公共媒体对理性讨论空间的维护，以及社会制度对平等对话权利的保障。唯其如此，我们才能在“诸神之争”的喧嚣中，不是走向撕裂或冷漠，而是在“人间”的对话里，共同编织出虽不完美却值得信赖的规范性生活网络。</w:t>
      </w:r>
    </w:p>
    <w:p>
      <w:pPr>
        <w:ind w:firstLine="480"/>
      </w:pPr>
      <w:r>
        <w:rPr>
          <w:rFonts w:ascii="SimSun" w:hAnsi="SimSun" w:eastAsia="SimSun"/>
        </w:rPr>
        <w:t>---</w:t>
      </w:r>
    </w:p>
    <w:p>
      <w:pPr>
        <w:ind w:firstLine="480"/>
      </w:pPr>
      <w:r>
        <w:rPr>
          <w:rFonts w:ascii="SimSun" w:hAnsi="SimSun" w:eastAsia="SimSun"/>
        </w:rPr>
      </w:r>
      <w:r>
        <w:rPr>
          <w:rFonts w:ascii="SimSun" w:hAnsi="SimSun" w:eastAsia="SimSun"/>
          <w:b/>
        </w:rPr>
        <w:t>参考资料</w:t>
      </w:r>
      <w:r>
        <w:rPr>
          <w:rFonts w:ascii="SimSun" w:hAnsi="SimSun" w:eastAsia="SimSun"/>
        </w:rPr>
        <w:t>：</w:t>
      </w:r>
    </w:p>
    <w:p>
      <w:pPr>
        <w:pStyle w:val="ListBullet"/>
      </w:pPr>
      <w:r>
        <w:rPr>
          <w:rFonts w:ascii="SimSun" w:hAnsi="SimSun" w:eastAsia="SimSun"/>
        </w:rPr>
        <w:t>《西方现代思想讲义》 (刘擎) : 39.哈贝马斯 为什么“交谈”是一件非比寻常的事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