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SimSun" w:hAnsi="SimSun" w:eastAsia="SimSun"/>
        </w:rPr>
        <w:t>差异的图绘与河床的流动——在断裂与融合间寻求世界秩序</w:t>
      </w:r>
    </w:p>
    <w:p>
      <w:pPr>
        <w:ind w:firstLine="480"/>
      </w:pPr>
      <w:r>
        <w:rPr>
          <w:rFonts w:ascii="SimSun" w:hAnsi="SimSun" w:eastAsia="SimSun"/>
        </w:rPr>
        <w:t>冷战结束后，世界并未如福山所预言般迈向自由民主的“历史终点”，反而涌现出更多基于宗教、民族与文化认同的紧张与对抗。在这一背景下，塞缪尔·亨廷顿的“文明冲突论”如同一面棱镜，为我们透视后冷战时代的国际政治提供了全新的光谱。其核心的思辨张力在于，他尖锐地挑战了西方普世价值推广的迷思，揭示了人类群体间根深蒂固的“文明的断层线”，并断言差异必然滋生持久且无法根除的冲突。然而，这种对差异与冲突必然性的强调，也构成了其理论最大的悖论：它将动态、开放的文化身份固化为铁板一块的“文明堡垒”，从而可能遮蔽了历史长河中文化相互渗透、变迁与融合的丰富图景。本文将以亨廷顿的“冲突论”为基座，循着他绘制的“文明地图”，探讨文明的边界、价值的碰撞与秩序的想象，在承认断裂的清醒中，探寻流动与融合的可能。</w:t>
      </w:r>
    </w:p>
    <w:p>
      <w:pPr>
        <w:pStyle w:val="Heading3"/>
      </w:pPr>
      <w:r>
        <w:rPr>
          <w:rFonts w:ascii="SimSun" w:hAnsi="SimSun" w:eastAsia="SimSun"/>
        </w:rPr>
        <w:t>母题一：文明的边界：牢不可破的堡垒，还是流动的河床？</w:t>
      </w:r>
    </w:p>
    <w:p>
      <w:pPr>
        <w:ind w:firstLine="480"/>
      </w:pPr>
      <w:r>
        <w:rPr>
          <w:rFonts w:ascii="SimSun" w:hAnsi="SimSun" w:eastAsia="SimSun"/>
        </w:rPr>
        <w:t>亨廷顿的“文明圈”地图，本质上是为动荡的世界绘制一张认知锚点，其核心假设是：以宗教、语言和传统为内核的文化身份是坚硬且持久的，构成了“我们是谁”的终极堡垒。他担忧外来移民会稀释美国的“新教徒价值”，这正源于他将文化视为一种需要守卫的、静态的遗产。然而，这张看似清晰的地图却处处显露出“模糊”的裂痕：韩国被划入儒家文明圈，其基督教徒却已占总人口的三分之一；印度古老的“殉夫陪葬”习俗最终被现代法律废除。这些现象强烈暗示，文明的边界远非牢不可破的城墙，而更像是“流动的河床”——在历史的长河中，其形态、深度与走向始终在与外界的交流、碰撞、内部反省及权力结构的变动中不断重塑。当我们将文化身份视为永恒的“堡垒”时，我们或许获得了暂时的安全感，却也可能将自身囚禁于对过往的刻板想象之中，丧失了适应与创新的生命力。</w:t>
      </w:r>
    </w:p>
    <w:p>
      <w:pPr>
        <w:ind w:firstLine="480"/>
      </w:pPr>
      <w:r>
        <w:rPr>
          <w:rFonts w:ascii="SimSun" w:hAnsi="SimSun" w:eastAsia="SimSun"/>
        </w:rPr>
      </w:r>
      <w:r>
        <w:rPr>
          <w:rFonts w:ascii="SimSun" w:hAnsi="SimSun" w:eastAsia="SimSun"/>
          <w:b/>
        </w:rPr>
        <w:t>文化身份的“坚固”与“流动”，哪一种特性更能为个体提供真正的归属感与安全感？当一种文明将自身传统供奉为不可变更的“堡垒”时，它究竟是在捍卫自身的独特性，还是在扼杀其应对未来挑战所必需的演化能力？</w:t>
      </w:r>
      <w:r>
        <w:rPr>
          <w:rFonts w:ascii="SimSun" w:hAnsi="SimSun" w:eastAsia="SimSun"/>
        </w:rPr>
      </w:r>
    </w:p>
    <w:p>
      <w:pPr>
        <w:ind w:firstLine="480"/>
      </w:pPr>
      <w:r>
        <w:rPr>
          <w:rFonts w:ascii="SimSun" w:hAnsi="SimSun" w:eastAsia="SimSun"/>
        </w:rPr>
        <w:t>立意进阶应超越“非此即彼”的二元选择。文明的韧性，并不在于构建一道隔绝一切异质元素的、想象中的铜墙铁壁，而在于培育一种具有“文化主体性”的开放心态。这种主体性意味着，我们能清醒地认知并珍视自身传统中的核心价值（如中华文明中对和谐、家庭伦理与集体责任的重视），但并非将其视为僵化的教条。真正的“守护”是动态的传承，是在与世界的深度对话中，对这些核心价值进行创造性的转化与现代表达。将文化视为“流动的河床”，并非放弃自我，而是承认文明是一个鲜活的有机体，需要在与全球环境的持续互动中进行新陈代谢。正如亨廷顿与福山之争所揭示的，现实世界的真相往往介于“其心必异”的固化与“心同理同”的趋同之间，文明正是在这种固守与流动的张力中，实现其生生不息的延续。</w:t>
      </w:r>
    </w:p>
    <w:p>
      <w:pPr>
        <w:pStyle w:val="Heading3"/>
      </w:pPr>
      <w:r>
        <w:rPr>
          <w:rFonts w:ascii="SimSun" w:hAnsi="SimSun" w:eastAsia="SimSun"/>
        </w:rPr>
        <w:t>母题二：价值的冲突：当“我们的风俗”遇上“人的底线”</w:t>
      </w:r>
    </w:p>
    <w:p>
      <w:pPr>
        <w:ind w:firstLine="480"/>
      </w:pPr>
      <w:r>
        <w:rPr>
          <w:rFonts w:ascii="SimSun" w:hAnsi="SimSun" w:eastAsia="SimSun"/>
        </w:rPr>
        <w:t>当文明相遇，最深层的摩擦往往发生在价值层面。原文中英国殖民者纳皮尔爵士与印度部落首领关于“殉夫陪葬”的对话，戏剧化地呈现了这一困境的复杂性：一方以“我们的传统”为绝对辩护，另一方则以“我们的法律”进行强力反制，背后则是赤裸裸的殖民权力。亨廷顿强调文明无高低，反对普世价值的强行推广，这警示我们警惕文化霸权。然而，这是否意味着在面对某些涉及基本生命权与尊严的文化实践时，我们必须保持缄默，陷入“怎么都行”的文化相对主义？问题的关键，不在于在“特殊风俗”与“普遍价值”间作非此即彼的抉择，而在于深入价值冲突的结构内部，追问：声称代表“我们”传统的，究竟是整个文明共同体，还是内部特定的权力集团？那些被献祭的寡妇，是否被排除在了这个“我们”之外？</w:t>
      </w:r>
    </w:p>
    <w:p>
      <w:pPr>
        <w:ind w:firstLine="480"/>
      </w:pPr>
      <w:r>
        <w:rPr>
          <w:rFonts w:ascii="SimSun" w:hAnsi="SimSun" w:eastAsia="SimSun"/>
        </w:rPr>
      </w:r>
      <w:r>
        <w:rPr>
          <w:rFonts w:ascii="SimSun" w:hAnsi="SimSun" w:eastAsia="SimSun"/>
          <w:b/>
        </w:rPr>
        <w:t>评判一种文化实践（如“殉夫陪葬”）时，我们能否以及如何超越“文化相对主义”与“普世主义”的简单对立？是否存在一种基于共同人性与同理心的“底线伦理”，它虽在不同文化中以不同形式表达，却能成为文明间对话与反思的共同基础？</w:t>
      </w:r>
      <w:r>
        <w:rPr>
          <w:rFonts w:ascii="SimSun" w:hAnsi="SimSun" w:eastAsia="SimSun"/>
        </w:rPr>
      </w:r>
    </w:p>
    <w:p>
      <w:pPr>
        <w:ind w:firstLine="480"/>
      </w:pPr>
      <w:r>
        <w:rPr>
          <w:rFonts w:ascii="SimSun" w:hAnsi="SimSun" w:eastAsia="SimSun"/>
        </w:rPr>
        <w:t>文明的进步，往往并非来自外部的强制移植，而是源于内部觉醒与外部刺激共同作用下，对自身传统进行的批判性反思与创造性转化。印度最终立法废除“殉葬”，这一变迁的动力，既是殖民时期外部力量的冲击，更是其内部社会在现代化进程中，对生命权、性别平等这些底线性价值的再发现与再确认。因此，面对价值冲突，我们既应警惕以“普遍”为名的粗暴干涉（如纳皮尔式的权力话语），也应反对以“特殊”为借口的故步自封或对内部压迫的辩护。文明的对话，需要勇气进入基于理由的实质性商谈，努力探寻那些既能尊重文化多样性，又不违背基本人道精神的共同原则。这并非要建立一种新的霸权，而是在平等尊重的前提下，通过说理与示范，促成一种“视域融合”，让各文明在对话中共同照亮那些被遮蔽的、关于人之所以为人的基本共识。</w:t>
      </w:r>
    </w:p>
    <w:p>
      <w:pPr>
        <w:pStyle w:val="Heading3"/>
      </w:pPr>
      <w:r>
        <w:rPr>
          <w:rFonts w:ascii="SimSun" w:hAnsi="SimSun" w:eastAsia="SimSun"/>
        </w:rPr>
        <w:t>母题三：秩序的想象：在“断层线”上搭建桥梁，还是填平鸿沟？</w:t>
      </w:r>
    </w:p>
    <w:p>
      <w:pPr>
        <w:ind w:firstLine="480"/>
      </w:pPr>
      <w:r>
        <w:rPr>
          <w:rFonts w:ascii="SimSun" w:hAnsi="SimSun" w:eastAsia="SimSun"/>
        </w:rPr>
        <w:t>基于对文明差异固化和冲突必然性的判断，亨廷顿为世界秩序开出的是一张现实主义的处方：承认并标示出“文明的断层线”，通过各文明圈内部核心国家的整合与不同文明圈之间的势力平衡与对话来“管控”冲突，防止其升级为毁灭性战争。这种秩序想象，好比在地质断裂带上设立监测站与缓冲带，旨在维持一种基于恐惧与计算的“冷和平”。然而，如果文化真如我们之前所论，具有“河床”般的流动性与可塑性，那么，秩序的重建是否可能拥有另一种更积极的愿景？即通过长期、广泛、深入的经济互联、科技共享、人文交流与共同实践，逐步“拓宽”甚至“填平”鸿沟，让断层线变得模糊，从而在源头上降低冲突的烈度与可能性？</w:t>
      </w:r>
    </w:p>
    <w:p>
      <w:pPr>
        <w:ind w:firstLine="480"/>
      </w:pPr>
      <w:r>
        <w:rPr>
          <w:rFonts w:ascii="SimSun" w:hAnsi="SimSun" w:eastAsia="SimSun"/>
        </w:rPr>
      </w:r>
      <w:r>
        <w:rPr>
          <w:rFonts w:ascii="SimSun" w:hAnsi="SimSun" w:eastAsia="SimSun"/>
          <w:b/>
        </w:rPr>
        <w:t>亨廷顿的“冲突管控”模式，是否在客观上将文明差异进一步制度化和固化，从而维系甚至强化了冲突的潜在结构？这种基于制衡的“稳定”，是通往持久和平的务实路径，还是让世界陷入了“以冲突防冲突”的循环陷阱？</w:t>
      </w:r>
      <w:r>
        <w:rPr>
          <w:rFonts w:ascii="SimSun" w:hAnsi="SimSun" w:eastAsia="SimSun"/>
        </w:rPr>
      </w:r>
    </w:p>
    <w:p>
      <w:pPr>
        <w:ind w:firstLine="480"/>
      </w:pPr>
      <w:r>
        <w:rPr>
          <w:rFonts w:ascii="SimSun" w:hAnsi="SimSun" w:eastAsia="SimSun"/>
        </w:rPr>
        <w:t>理想的世界秩序，需要在亨廷顿冷静的“现实主义预警”与对文化动态变迁的“理想主义信心”之间，找到一种辩证的实践智慧。它始于对差异与潜在冲突的清醒承认（不回避断层线），但绝不止于被动的管控。真正的“桥梁”建设，在于超越抽象的文明标签，创造大量让不同文化背景的个体与群体进行深度对话、共同应对挑战的“接触带”与“合作区”——无论是共同应对气候变化、公共卫生危机等全球性议题，还是在科技、艺术、教育领域的协同创新。在这些具体的、目标导向的共同行动中，文化不再是僵化的堡垒，而是可供切磋、借鉴与融合的活资源。人们得以在共同经历与成就中，建立基于具体信任的个人联系，从而松动那些被宏大叙事所固化的偏见。因此，秩序的重建并非绘制一张静态的势力范围图，而是一个在承认差异中寻求合作、在管控风险中创造融合的动态过程。其终极目标，是实现一种“和而不同”的、具有韧性的共同演化，让文明的河床在相互润泽中，奔涌向前。</w:t>
      </w:r>
    </w:p>
    <w:p>
      <w:pPr>
        <w:ind w:firstLine="480"/>
      </w:pPr>
      <w:r>
        <w:rPr>
          <w:rFonts w:ascii="SimSun" w:hAnsi="SimSun" w:eastAsia="SimSun"/>
        </w:rPr>
        <w:t>---</w:t>
      </w:r>
    </w:p>
    <w:p>
      <w:pPr>
        <w:ind w:firstLine="480"/>
      </w:pPr>
      <w:r>
        <w:rPr>
          <w:rFonts w:ascii="SimSun" w:hAnsi="SimSun" w:eastAsia="SimSun"/>
        </w:rPr>
      </w:r>
      <w:r>
        <w:rPr>
          <w:rFonts w:ascii="SimSun" w:hAnsi="SimSun" w:eastAsia="SimSun"/>
          <w:b/>
        </w:rPr>
        <w:t>参考资料</w:t>
      </w:r>
      <w:r>
        <w:rPr>
          <w:rFonts w:ascii="SimSun" w:hAnsi="SimSun" w:eastAsia="SimSun"/>
        </w:rPr>
        <w:t>：</w:t>
      </w:r>
    </w:p>
    <w:p>
      <w:pPr>
        <w:pStyle w:val="ListBullet"/>
      </w:pPr>
      <w:r>
        <w:rPr>
          <w:rFonts w:ascii="SimSun" w:hAnsi="SimSun" w:eastAsia="SimSun"/>
        </w:rPr>
        <w:t>《西方现代思想讲义》 (刘擎) : 42.亨廷顿 “文明的冲突”是不可避免的吗</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eastAsia="SimSu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