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13B" w:rsidRDefault="008137CA">
      <w:pPr>
        <w:pStyle w:val="aa"/>
        <w:spacing w:after="120" w:line="360" w:lineRule="auto"/>
        <w:jc w:val="center"/>
      </w:pPr>
      <w:r w:rsidRPr="008137CA">
        <w:rPr>
          <w:rFonts w:ascii="Times New Roman" w:eastAsia="Times New Roman" w:hAnsi="Times New Roman"/>
          <w:sz w:val="22"/>
        </w:rPr>
        <w:t>Platformed Recognition: Issue Visibility, Affective Evaluation, and Boundary-Making across Douyin and Kuaishou</w:t>
      </w:r>
      <w:bookmarkStart w:id="0" w:name="_GoBack"/>
      <w:bookmarkEnd w:id="0"/>
    </w:p>
    <w:p w:rsidR="00DB613B" w:rsidRDefault="008137CA">
      <w:r>
        <w:rPr>
          <w:b/>
        </w:rPr>
        <w:t>Table 1. Research hypotheses.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8496"/>
      </w:tblGrid>
      <w:tr w:rsidR="00DB613B">
        <w:trPr>
          <w:tblHeader/>
          <w:jc w:val="center"/>
        </w:trPr>
        <w:tc>
          <w:tcPr>
            <w:tcW w:w="1008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w="849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Hypothesis</w:t>
            </w:r>
          </w:p>
        </w:tc>
      </w:tr>
      <w:tr w:rsidR="00DB613B">
        <w:trPr>
          <w:jc w:val="center"/>
        </w:trPr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H1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 xml:space="preserve">Douyin and Kuaishou exhibit significantly different issue </w:t>
            </w:r>
            <w:r>
              <w:rPr>
                <w:sz w:val="18"/>
              </w:rPr>
              <w:t>structures and discursive visibility regimes.</w:t>
            </w:r>
          </w:p>
        </w:tc>
      </w:tr>
      <w:tr w:rsidR="00DB613B">
        <w:trPr>
          <w:jc w:val="center"/>
        </w:trPr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H2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Issue structure significantly predicts affective evaluation on both platforms.</w:t>
            </w:r>
          </w:p>
        </w:tc>
      </w:tr>
      <w:tr w:rsidR="00DB613B">
        <w:trPr>
          <w:jc w:val="center"/>
        </w:trPr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H3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Affective evaluation significantly predicts identity-boundary orientation on both platforms.</w:t>
            </w:r>
          </w:p>
        </w:tc>
      </w:tr>
      <w:tr w:rsidR="00DB613B">
        <w:trPr>
          <w:jc w:val="center"/>
        </w:trPr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H4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 xml:space="preserve">Affective evaluation </w:t>
            </w:r>
            <w:r>
              <w:rPr>
                <w:sz w:val="18"/>
              </w:rPr>
              <w:t>mediates the relationship between issue structure and identity-boundary orientation.</w:t>
            </w:r>
          </w:p>
        </w:tc>
      </w:tr>
      <w:tr w:rsidR="00DB613B">
        <w:trPr>
          <w:jc w:val="center"/>
        </w:trPr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H5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Cross-platform differences are stronger in upstream issue ecology than in the downstream affective mediation mechanism.</w:t>
            </w:r>
          </w:p>
        </w:tc>
      </w:tr>
    </w:tbl>
    <w:p w:rsidR="00DB613B" w:rsidRDefault="00DB613B"/>
    <w:p w:rsidR="00DB613B" w:rsidRDefault="008137CA">
      <w:r>
        <w:rPr>
          <w:b/>
        </w:rPr>
        <w:t>Table 2. Corpus overview and sampling design.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1668"/>
        <w:gridCol w:w="1917"/>
        <w:gridCol w:w="2068"/>
        <w:gridCol w:w="2738"/>
      </w:tblGrid>
      <w:tr w:rsidR="00DB613B">
        <w:trPr>
          <w:tblHeader/>
          <w:jc w:val="center"/>
        </w:trPr>
        <w:tc>
          <w:tcPr>
            <w:tcW w:w="158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w="1728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Full cleaned corpus</w:t>
            </w:r>
          </w:p>
        </w:tc>
        <w:tc>
          <w:tcPr>
            <w:tcW w:w="194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Stratified clustering sample</w:t>
            </w:r>
          </w:p>
        </w:tc>
        <w:tc>
          <w:tcPr>
            <w:tcW w:w="21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Coverage period</w:t>
            </w:r>
          </w:p>
        </w:tc>
        <w:tc>
          <w:tcPr>
            <w:tcW w:w="28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Analytical role</w:t>
            </w:r>
          </w:p>
        </w:tc>
      </w:tr>
      <w:tr w:rsidR="00DB613B"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Douyin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634,289 comments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63,429 comments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October 2019-May 2025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Topic clustering, supervised inference, model estimation</w:t>
            </w:r>
          </w:p>
        </w:tc>
      </w:tr>
      <w:tr w:rsidR="00DB613B"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Kuaishou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518,763 comments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51,876 comments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December 2018-December 2024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Topic clustering, supervised inference, model estimation</w:t>
            </w:r>
          </w:p>
        </w:tc>
      </w:tr>
      <w:tr w:rsidR="00DB613B"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Annotated subset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10,000 comments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7:2:1 train/validation/test split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Cross-platform balanced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Supervised coding of affective evaluation and boundary orientation</w:t>
            </w:r>
          </w:p>
        </w:tc>
      </w:tr>
    </w:tbl>
    <w:p w:rsidR="00DB613B" w:rsidRDefault="00DB613B"/>
    <w:p w:rsidR="00DB613B" w:rsidRDefault="008137CA">
      <w:r>
        <w:rPr>
          <w:i/>
          <w:sz w:val="20"/>
        </w:rPr>
        <w:t xml:space="preserve">Note. </w:t>
      </w:r>
      <w:r>
        <w:rPr>
          <w:sz w:val="20"/>
        </w:rPr>
        <w:t>Mont</w:t>
      </w:r>
      <w:r>
        <w:rPr>
          <w:sz w:val="20"/>
        </w:rPr>
        <w:t>hly stratified random sampling with a fixed seed was used for clustering to preserve temporal balance while reducing computational burden.</w:t>
      </w:r>
    </w:p>
    <w:p w:rsidR="00DB613B" w:rsidRDefault="008137CA">
      <w:r>
        <w:rPr>
          <w:b/>
        </w:rPr>
        <w:t>Table 3. Platform-specific issue structures and interpretive emphases.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1972"/>
        <w:gridCol w:w="1122"/>
        <w:gridCol w:w="2774"/>
        <w:gridCol w:w="2921"/>
      </w:tblGrid>
      <w:tr w:rsidR="00DB613B">
        <w:trPr>
          <w:tblHeader/>
          <w:jc w:val="center"/>
        </w:trPr>
        <w:tc>
          <w:tcPr>
            <w:tcW w:w="1152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w="201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Issue cluster</w:t>
            </w:r>
          </w:p>
        </w:tc>
        <w:tc>
          <w:tcPr>
            <w:tcW w:w="1152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Share (%)</w:t>
            </w:r>
          </w:p>
        </w:tc>
        <w:tc>
          <w:tcPr>
            <w:tcW w:w="28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Dominant </w:t>
            </w:r>
            <w:r>
              <w:rPr>
                <w:b/>
                <w:sz w:val="18"/>
              </w:rPr>
              <w:t>keywords</w:t>
            </w:r>
          </w:p>
        </w:tc>
        <w:tc>
          <w:tcPr>
            <w:tcW w:w="302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Interpretive emphasis</w:t>
            </w:r>
          </w:p>
        </w:tc>
      </w:tr>
      <w:tr w:rsidR="00DB613B">
        <w:trPr>
          <w:jc w:val="center"/>
        </w:trPr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Douyin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Stigma and respect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32.79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stigma, customs, integration, prejudice, respect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Anti-stigma claims, equality, and interpersonal recognition</w:t>
            </w:r>
          </w:p>
        </w:tc>
      </w:tr>
      <w:tr w:rsidR="00DB613B">
        <w:trPr>
          <w:jc w:val="center"/>
        </w:trPr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Douyin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Tradition and cultural distinctiveness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29.81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 xml:space="preserve">tradition, customs, fusion, </w:t>
            </w:r>
            <w:r>
              <w:rPr>
                <w:sz w:val="18"/>
              </w:rPr>
              <w:t>modernity, heritage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Cultural display, heritage, and tradition-modernity articulation</w:t>
            </w:r>
          </w:p>
        </w:tc>
      </w:tr>
      <w:tr w:rsidR="00DB613B">
        <w:trPr>
          <w:jc w:val="center"/>
        </w:trPr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Douyin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Commonality and shared belonging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19.62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one family, fifty-six groups, solidarity, common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Superordinate belonging and commonality narratives</w:t>
            </w:r>
          </w:p>
        </w:tc>
      </w:tr>
      <w:tr w:rsidR="00DB613B">
        <w:trPr>
          <w:jc w:val="center"/>
        </w:trPr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Douyin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Identity and pri</w:t>
            </w:r>
            <w:r>
              <w:rPr>
                <w:sz w:val="18"/>
              </w:rPr>
              <w:t>de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17.77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pride, identity, happiness, culture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Group pride and affective ownership</w:t>
            </w:r>
          </w:p>
        </w:tc>
      </w:tr>
      <w:tr w:rsidR="00DB613B">
        <w:trPr>
          <w:jc w:val="center"/>
        </w:trPr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Kuaishou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Performance and revival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68.40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revival, culture, tradition, hanfu, display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Performative revival and visualized cultural expression</w:t>
            </w:r>
          </w:p>
        </w:tc>
      </w:tr>
      <w:tr w:rsidR="00DB613B">
        <w:trPr>
          <w:jc w:val="center"/>
        </w:trPr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Kuaishou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Han identity and race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18.70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Han, bloodline, awakening, genes, race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Essentialized identity, bloodline, and identity intensification</w:t>
            </w:r>
          </w:p>
        </w:tc>
      </w:tr>
      <w:tr w:rsidR="00DB613B">
        <w:trPr>
          <w:jc w:val="center"/>
        </w:trPr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Kuaishou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Conflict and confrontation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12.90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opposition, incitement, emotion, politics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Conflict cues, antagonism, and politically charged confrontati</w:t>
            </w:r>
            <w:r>
              <w:rPr>
                <w:sz w:val="18"/>
              </w:rPr>
              <w:t>on</w:t>
            </w:r>
          </w:p>
        </w:tc>
      </w:tr>
    </w:tbl>
    <w:p w:rsidR="00DB613B" w:rsidRDefault="00DB613B"/>
    <w:p w:rsidR="00DB613B" w:rsidRDefault="008137CA">
      <w:r>
        <w:rPr>
          <w:b/>
        </w:rPr>
        <w:t>Table 4. Observed identity-boundary orientation by issue cluster.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592"/>
        <w:gridCol w:w="1440"/>
        <w:gridCol w:w="1440"/>
        <w:gridCol w:w="1440"/>
      </w:tblGrid>
      <w:tr w:rsidR="00DB613B">
        <w:trPr>
          <w:tblHeader/>
          <w:jc w:val="center"/>
        </w:trPr>
        <w:tc>
          <w:tcPr>
            <w:tcW w:w="129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w="2592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Issue cluster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Integrative (%)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Neutral (%)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Conflictual (%)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Douyin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Commonality and shared belonging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71.9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23.7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4.4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Douyin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Tradition and cultural distinctiveness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35.2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52.6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12.2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Douyin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Identity and pride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13.6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78.9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7.5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Douyin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Stigma and respect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42.8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43.0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14.2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Kuaishou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Performance and revival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59.9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16.9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23.1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Kuaishou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Han identity and race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63.2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27.6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9.2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Kuaishou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8"/>
              </w:rPr>
              <w:t>Conflict and confrontation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79.3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8"/>
              </w:rPr>
              <w:t>15.7</w:t>
            </w:r>
          </w:p>
        </w:tc>
      </w:tr>
    </w:tbl>
    <w:p w:rsidR="00DB613B" w:rsidRDefault="00DB613B"/>
    <w:p w:rsidR="00DB613B" w:rsidRDefault="008137CA">
      <w:r>
        <w:rPr>
          <w:i/>
          <w:sz w:val="20"/>
        </w:rPr>
        <w:t xml:space="preserve">Note. </w:t>
      </w:r>
      <w:r>
        <w:rPr>
          <w:sz w:val="20"/>
        </w:rPr>
        <w:t xml:space="preserve">Percentages are </w:t>
      </w:r>
      <w:r>
        <w:rPr>
          <w:sz w:val="20"/>
        </w:rPr>
        <w:t>reproduced from the source cross-tabulations in editable form for submission and review.</w:t>
      </w:r>
    </w:p>
    <w:p w:rsidR="00DB613B" w:rsidRDefault="008137CA">
      <w:r>
        <w:rPr>
          <w:b/>
        </w:rPr>
        <w:t>Table 5. Core semantic-network metrics and cross-network correlations.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1295"/>
        <w:gridCol w:w="1295"/>
        <w:gridCol w:w="2158"/>
        <w:gridCol w:w="2876"/>
      </w:tblGrid>
      <w:tr w:rsidR="00DB613B">
        <w:trPr>
          <w:tblHeader/>
          <w:jc w:val="center"/>
        </w:trPr>
        <w:tc>
          <w:tcPr>
            <w:tcW w:w="230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129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Douyin</w:t>
            </w:r>
          </w:p>
        </w:tc>
        <w:tc>
          <w:tcPr>
            <w:tcW w:w="129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Kuaishou</w:t>
            </w:r>
          </w:p>
        </w:tc>
        <w:tc>
          <w:tcPr>
            <w:tcW w:w="21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Evidence of significance</w:t>
            </w:r>
          </w:p>
        </w:tc>
        <w:tc>
          <w:tcPr>
            <w:tcW w:w="28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Interpretation</w:t>
            </w:r>
          </w:p>
        </w:tc>
      </w:tr>
      <w:tr w:rsidR="00DB613B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Core network nodes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471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Descriptive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Kuaishou comment discourse is markedly larger and more segmented</w:t>
            </w:r>
          </w:p>
        </w:tc>
      </w:tr>
      <w:tr w:rsidR="00DB613B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Core network edges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192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602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Descriptive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Kuaishou exhibits more extensive lexical interconnection</w:t>
            </w:r>
          </w:p>
        </w:tc>
      </w:tr>
      <w:tr w:rsidR="00DB613B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Average path length (comment network)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3.41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5.63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Descriptive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 xml:space="preserve">Longer paths on </w:t>
            </w:r>
            <w:r>
              <w:rPr>
                <w:sz w:val="17"/>
              </w:rPr>
              <w:t>Kuaishou indicate more complex and dispersed semantic travel</w:t>
            </w:r>
          </w:p>
        </w:tc>
      </w:tr>
      <w:tr w:rsidR="00DB613B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Clustering coefficient (comment network)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0.360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0.280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Descriptive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Lower clustering on Kuaishou indicates weaker local modular cohesion</w:t>
            </w:r>
          </w:p>
        </w:tc>
      </w:tr>
      <w:tr w:rsidR="00DB613B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 xml:space="preserve">Eigenvector centrality correlation across creator/comment </w:t>
            </w:r>
            <w:r>
              <w:rPr>
                <w:sz w:val="17"/>
              </w:rPr>
              <w:t>networks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Pearson = 0.495; Spearman = 0.562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Pearson = 0.205; Spearman = 0.425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Douyin p = 0.009/0.002; Kuaishou p = 0.049/&lt;0.001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Cross-network semantic alignment is weaker on Kuaishou</w:t>
            </w:r>
          </w:p>
        </w:tc>
      </w:tr>
      <w:tr w:rsidR="00DB613B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Degree centrality correlation across creator/comment networks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Pearson = 0</w:t>
            </w:r>
            <w:r>
              <w:rPr>
                <w:sz w:val="17"/>
              </w:rPr>
              <w:t>.646; Spearman = 0.425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Pearson = 0.652; Spearman = 0.317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Douyin p &lt; 0.001/0.027; Kuaishou p &lt; 0.001/0.002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High degree overlap but weaker rank-order stability on Kuaishou</w:t>
            </w:r>
          </w:p>
        </w:tc>
      </w:tr>
      <w:tr w:rsidR="00DB613B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Betweenness centrality correlation across creator/comment networks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Pearson = 0.770; S</w:t>
            </w:r>
            <w:r>
              <w:rPr>
                <w:sz w:val="17"/>
              </w:rPr>
              <w:t>pearman = 0.409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Pearson = 0.615; Spearman = 0.509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Douyin p &lt; 0.001/0.034; Kuaishou p &lt; 0.001/&lt;0.001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Different brokerage structures across platforms</w:t>
            </w:r>
          </w:p>
        </w:tc>
      </w:tr>
    </w:tbl>
    <w:p w:rsidR="00DB613B" w:rsidRDefault="00DB613B"/>
    <w:p w:rsidR="00DB613B" w:rsidRDefault="008137CA">
      <w:r>
        <w:rPr>
          <w:b/>
        </w:rPr>
        <w:t>Table 6. Verified model-fit statistics for multinomial logit and mediation comparison.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860"/>
        <w:gridCol w:w="1363"/>
        <w:gridCol w:w="1340"/>
        <w:gridCol w:w="1483"/>
        <w:gridCol w:w="2650"/>
      </w:tblGrid>
      <w:tr w:rsidR="00DB613B">
        <w:trPr>
          <w:tblHeader/>
          <w:jc w:val="center"/>
        </w:trPr>
        <w:tc>
          <w:tcPr>
            <w:tcW w:w="129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Platform</w:t>
            </w:r>
          </w:p>
        </w:tc>
        <w:tc>
          <w:tcPr>
            <w:tcW w:w="201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 xml:space="preserve">Log </w:t>
            </w:r>
            <w:r>
              <w:rPr>
                <w:b/>
                <w:sz w:val="17"/>
              </w:rPr>
              <w:t>likelihood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ΔLL vs full</w:t>
            </w:r>
          </w:p>
        </w:tc>
        <w:tc>
          <w:tcPr>
            <w:tcW w:w="158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LR statistic</w:t>
            </w:r>
          </w:p>
        </w:tc>
        <w:tc>
          <w:tcPr>
            <w:tcW w:w="28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Reporting note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Douyin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Cognition-only model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-13249.32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2773.14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5546.28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Verified from retained model log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lastRenderedPageBreak/>
              <w:t>Douyin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Affect-only model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-10963.73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487.55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975.10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Verified from retained model log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Douyin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Full mediation model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-10476.18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0.00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Reference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Best verified fit (R²=.2867; AIC=20972.35; BIC=21049.04)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Kuaishou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Cognition-only model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-8415.45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1371.21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2742.42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LL retained; exact R²/AIC/BIC not preserved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Kuaishou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Affect-only model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-7096.18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51.94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103.88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 xml:space="preserve">LL retained; exact </w:t>
            </w:r>
            <w:r>
              <w:rPr>
                <w:sz w:val="17"/>
              </w:rPr>
              <w:t>R²/AIC/BIC not preserved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Kuaishou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Full mediation model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-7044.24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0.00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Reference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Best verified fit; source reports the lowest AIC/BIC</w:t>
            </w:r>
          </w:p>
        </w:tc>
      </w:tr>
    </w:tbl>
    <w:p w:rsidR="00DB613B" w:rsidRDefault="00DB613B"/>
    <w:p w:rsidR="00DB613B" w:rsidRDefault="008137CA">
      <w:r>
        <w:rPr>
          <w:i/>
          <w:sz w:val="20"/>
        </w:rPr>
        <w:t xml:space="preserve">Note. </w:t>
      </w:r>
      <w:r>
        <w:rPr>
          <w:sz w:val="20"/>
        </w:rPr>
        <w:t>Lower AIC/BIC and higher McFadden's R² indicate superior fit. Table entries reproduce verifiable values retained in</w:t>
      </w:r>
      <w:r>
        <w:rPr>
          <w:sz w:val="20"/>
        </w:rPr>
        <w:t xml:space="preserve"> the original model-output logs. Where full information-criterion matrices were not recoverable, the reporting note states the limitation explicitly.</w:t>
      </w:r>
    </w:p>
    <w:p w:rsidR="00DB613B" w:rsidRDefault="008137CA">
      <w:r>
        <w:rPr>
          <w:b/>
        </w:rPr>
        <w:t>Table 7. Selected coefficient-level odds ratios retained in the verified model output.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2381"/>
        <w:gridCol w:w="1740"/>
        <w:gridCol w:w="860"/>
        <w:gridCol w:w="1645"/>
        <w:gridCol w:w="2081"/>
      </w:tblGrid>
      <w:tr w:rsidR="00DB613B">
        <w:trPr>
          <w:tblHeader/>
          <w:jc w:val="center"/>
        </w:trPr>
        <w:tc>
          <w:tcPr>
            <w:tcW w:w="129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Platform</w:t>
            </w:r>
          </w:p>
        </w:tc>
        <w:tc>
          <w:tcPr>
            <w:tcW w:w="28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 xml:space="preserve">Predictor </w:t>
            </w:r>
            <w:r>
              <w:rPr>
                <w:b/>
                <w:sz w:val="17"/>
              </w:rPr>
              <w:t>/ contrast</w:t>
            </w:r>
          </w:p>
        </w:tc>
        <w:tc>
          <w:tcPr>
            <w:tcW w:w="201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Outcome comparison</w:t>
            </w:r>
          </w:p>
        </w:tc>
        <w:tc>
          <w:tcPr>
            <w:tcW w:w="1008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OR</w:t>
            </w:r>
          </w:p>
        </w:tc>
        <w:tc>
          <w:tcPr>
            <w:tcW w:w="1872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Significance reporting</w:t>
            </w:r>
          </w:p>
        </w:tc>
        <w:tc>
          <w:tcPr>
            <w:tcW w:w="2448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Substantive meaning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Douyin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Affective evaluation (1-unit increase)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Integrative vs neutral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6.47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Significant (verified in retained output)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Affect strongly increases integrative orientation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Douyin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Affective evaluation (1-unit increase)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Conflictual vs neutral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0.29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Significant (verified in retained output)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Affect suppresses conflictual orientation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Kuaishou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Affective evaluation (1-unit increase)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Integrative vs neutral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6.68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Significant (verified in ret</w:t>
            </w:r>
            <w:r>
              <w:rPr>
                <w:sz w:val="17"/>
              </w:rPr>
              <w:t>ained output)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Pro-integrative affect effect mirrors Douyin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Kuaishou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Affective evaluation (1-unit increase)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Conflictual vs neutral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0.30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Significant (verified in retained output)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Affect similarly suppresses conflict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Kuaishou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 xml:space="preserve">Han identity and race cluster </w:t>
            </w:r>
            <w:r>
              <w:rPr>
                <w:sz w:val="17"/>
              </w:rPr>
              <w:t>(vs performance and revival)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Integrative vs neutral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0.64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Significant (verified in retained output)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Essentializing discourse lowers integration odds by ~36%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Kuaishou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Conflict and confrontation cluster (vs performance and revival)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Conflictual vs neutral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2.2</w:t>
            </w:r>
            <w:r>
              <w:rPr>
                <w:sz w:val="17"/>
              </w:rPr>
              <w:t>0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Significant (verified in retained output)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Conflict-laden issues more than double conflict odds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Douyin (exploratory subanalysis)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Didactic commonality rhetoric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Integrative vs neutral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3.24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Verified OR; exact p not retained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 xml:space="preserve">Didactic commonality still </w:t>
            </w:r>
            <w:r>
              <w:rPr>
                <w:sz w:val="17"/>
              </w:rPr>
              <w:t>supports integration, but more weakly</w:t>
            </w:r>
          </w:p>
        </w:tc>
      </w:tr>
      <w:tr w:rsidR="00DB613B">
        <w:trPr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Douyin (exploratory subanalysis)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Aesthetic commonality rhetoric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Integrative vs neutral</w:t>
            </w:r>
          </w:p>
        </w:tc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5.91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  <w:jc w:val="center"/>
            </w:pPr>
            <w:r>
              <w:rPr>
                <w:sz w:val="17"/>
              </w:rPr>
              <w:t>p &lt; .001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B613B" w:rsidRDefault="008137CA">
            <w:pPr>
              <w:spacing w:after="0" w:line="240" w:lineRule="auto"/>
            </w:pPr>
            <w:r>
              <w:rPr>
                <w:sz w:val="17"/>
              </w:rPr>
              <w:t>Aestheticized commonality elicits stronger integrative odds</w:t>
            </w:r>
          </w:p>
        </w:tc>
      </w:tr>
    </w:tbl>
    <w:p w:rsidR="00DB613B" w:rsidRDefault="00DB613B"/>
    <w:p w:rsidR="00DB613B" w:rsidRDefault="008137CA">
      <w:r>
        <w:rPr>
          <w:i/>
          <w:sz w:val="20"/>
        </w:rPr>
        <w:t xml:space="preserve">Note. </w:t>
      </w:r>
      <w:r>
        <w:rPr>
          <w:sz w:val="20"/>
        </w:rPr>
        <w:t xml:space="preserve">Table 7 reports only those odds ratios that can </w:t>
      </w:r>
      <w:r>
        <w:rPr>
          <w:sz w:val="20"/>
        </w:rPr>
        <w:t>be verified directly against retained model output. Where the surviving export logs preserve significance direction but not a reportable exact p value, the table states that limitation directly.</w:t>
      </w:r>
    </w:p>
    <w:sectPr w:rsidR="00DB613B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37CA"/>
    <w:rsid w:val="00AA1D8D"/>
    <w:rsid w:val="00B47730"/>
    <w:rsid w:val="00CB0664"/>
    <w:rsid w:val="00DB61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EBD582A-197F-4FA1-B56F-4ADB52EC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162B1C-0A88-4428-8FC7-B6F7D8270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rex maxim</cp:lastModifiedBy>
  <cp:revision>2</cp:revision>
  <dcterms:created xsi:type="dcterms:W3CDTF">2026-03-20T03:23:00Z</dcterms:created>
  <dcterms:modified xsi:type="dcterms:W3CDTF">2026-03-20T03:23:00Z</dcterms:modified>
  <cp:category/>
</cp:coreProperties>
</file>