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2E82D7">
      <w:pPr>
        <w:spacing w:before="200" w:after="40"/>
        <w:jc w:val="center"/>
      </w:pPr>
      <w:r>
        <w:rPr>
          <w:b/>
          <w:bCs/>
          <w:color w:val="1F3B57"/>
          <w:sz w:val="32"/>
          <w:szCs w:val="32"/>
        </w:rPr>
        <w:t>HOURX</w:t>
      </w:r>
    </w:p>
    <w:p w14:paraId="14447489">
      <w:pPr>
        <w:spacing w:after="200"/>
        <w:jc w:val="center"/>
      </w:pPr>
      <w:r>
        <w:rPr>
          <w:b/>
          <w:bCs/>
          <w:color w:val="1F3B57"/>
          <w:sz w:val="40"/>
          <w:szCs w:val="40"/>
        </w:rPr>
        <w:t>App 功能问题与优化需求</w:t>
      </w:r>
      <w:bookmarkStart w:id="0" w:name="_GoBack"/>
      <w:bookmarkEnd w:id="0"/>
    </w:p>
    <w:p w14:paraId="4A01EF15">
      <w:pPr>
        <w:spacing w:after="300"/>
        <w:jc w:val="center"/>
      </w:pPr>
      <w:r>
        <w:rPr>
          <w:color w:val="7F7F7F"/>
          <w:sz w:val="22"/>
          <w:szCs w:val="22"/>
        </w:rPr>
        <w:t>预约与支付流程 · 通知机制 · 订单状态 · 地址字段</w:t>
      </w:r>
    </w:p>
    <w:tbl>
      <w:tblPr>
        <w:tblStyle w:val="11"/>
        <w:tblW w:w="9638"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2200"/>
        <w:gridCol w:w="7438"/>
      </w:tblGrid>
      <w:tr w14:paraId="6DA5E3A1">
        <w:tc>
          <w:tcPr>
            <w:tcW w:w="2200" w:type="dxa"/>
            <w:shd w:val="clear" w:color="auto" w:fill="F2F2F2"/>
            <w:tcMar>
              <w:top w:w="80" w:type="dxa"/>
              <w:left w:w="120" w:type="dxa"/>
              <w:bottom w:w="80" w:type="dxa"/>
              <w:right w:w="120" w:type="dxa"/>
            </w:tcMar>
          </w:tcPr>
          <w:p w14:paraId="6D86E1F6">
            <w:r>
              <w:rPr>
                <w:b/>
                <w:bCs/>
                <w:color w:val="1F3B57"/>
              </w:rPr>
              <w:t>文档用途</w:t>
            </w:r>
          </w:p>
        </w:tc>
        <w:tc>
          <w:tcPr>
            <w:tcW w:w="7438" w:type="dxa"/>
            <w:tcMar>
              <w:top w:w="80" w:type="dxa"/>
              <w:left w:w="120" w:type="dxa"/>
              <w:bottom w:w="80" w:type="dxa"/>
              <w:right w:w="120" w:type="dxa"/>
            </w:tcMar>
          </w:tcPr>
          <w:p w14:paraId="27EAB494">
            <w:r>
              <w:t>供研发部门评审与实施，问题来源于 App 端最新一轮实测</w:t>
            </w:r>
          </w:p>
        </w:tc>
      </w:tr>
      <w:tr w14:paraId="2B6EB60B">
        <w:tc>
          <w:tcPr>
            <w:tcW w:w="2200" w:type="dxa"/>
            <w:shd w:val="clear" w:color="auto" w:fill="F2F2F2"/>
            <w:tcMar>
              <w:top w:w="80" w:type="dxa"/>
              <w:left w:w="120" w:type="dxa"/>
              <w:bottom w:w="80" w:type="dxa"/>
              <w:right w:w="120" w:type="dxa"/>
            </w:tcMar>
          </w:tcPr>
          <w:p w14:paraId="2C13E2BC">
            <w:r>
              <w:rPr>
                <w:b/>
                <w:bCs/>
                <w:color w:val="1F3B57"/>
              </w:rPr>
              <w:t>整理日期</w:t>
            </w:r>
          </w:p>
        </w:tc>
        <w:tc>
          <w:tcPr>
            <w:tcW w:w="7438" w:type="dxa"/>
            <w:tcMar>
              <w:top w:w="80" w:type="dxa"/>
              <w:left w:w="120" w:type="dxa"/>
              <w:bottom w:w="80" w:type="dxa"/>
              <w:right w:w="120" w:type="dxa"/>
            </w:tcMar>
          </w:tcPr>
          <w:p w14:paraId="7BD64B09">
            <w:r>
              <w:t>2026-09-02</w:t>
            </w:r>
          </w:p>
        </w:tc>
      </w:tr>
      <w:tr w14:paraId="72E91B3A">
        <w:tc>
          <w:tcPr>
            <w:tcW w:w="2200" w:type="dxa"/>
            <w:shd w:val="clear" w:color="auto" w:fill="F2F2F2"/>
            <w:tcMar>
              <w:top w:w="80" w:type="dxa"/>
              <w:left w:w="120" w:type="dxa"/>
              <w:bottom w:w="80" w:type="dxa"/>
              <w:right w:w="120" w:type="dxa"/>
            </w:tcMar>
          </w:tcPr>
          <w:p w14:paraId="75093DC8">
            <w:r>
              <w:rPr>
                <w:b/>
                <w:bCs/>
                <w:color w:val="1F3B57"/>
              </w:rPr>
              <w:t>适用范围</w:t>
            </w:r>
          </w:p>
        </w:tc>
        <w:tc>
          <w:tcPr>
            <w:tcW w:w="7438" w:type="dxa"/>
            <w:tcMar>
              <w:top w:w="80" w:type="dxa"/>
              <w:left w:w="120" w:type="dxa"/>
              <w:bottom w:w="80" w:type="dxa"/>
              <w:right w:w="120" w:type="dxa"/>
            </w:tcMar>
          </w:tcPr>
          <w:p w14:paraId="661A6430">
            <w:r>
              <w:t>预约确认页、改期功能、订单状态、通知推送、购物车、支付信息、地址表单</w:t>
            </w:r>
          </w:p>
        </w:tc>
      </w:tr>
      <w:tr w14:paraId="201AF632">
        <w:tc>
          <w:tcPr>
            <w:tcW w:w="2200" w:type="dxa"/>
            <w:shd w:val="clear" w:color="auto" w:fill="F2F2F2"/>
            <w:tcMar>
              <w:top w:w="80" w:type="dxa"/>
              <w:left w:w="120" w:type="dxa"/>
              <w:bottom w:w="80" w:type="dxa"/>
              <w:right w:w="120" w:type="dxa"/>
            </w:tcMar>
          </w:tcPr>
          <w:p w14:paraId="4F68682B">
            <w:r>
              <w:rPr>
                <w:b/>
                <w:bCs/>
                <w:color w:val="1F3B57"/>
              </w:rPr>
              <w:t>文档说明</w:t>
            </w:r>
          </w:p>
        </w:tc>
        <w:tc>
          <w:tcPr>
            <w:tcW w:w="7438" w:type="dxa"/>
            <w:tcMar>
              <w:top w:w="80" w:type="dxa"/>
              <w:left w:w="120" w:type="dxa"/>
              <w:bottom w:w="80" w:type="dxa"/>
              <w:right w:w="120" w:type="dxa"/>
            </w:tcMar>
          </w:tcPr>
          <w:p w14:paraId="651232B2">
            <w:r>
              <w:t>本批次共 11 项问题，独立于此前已发送的《网页问题与修改需求（合并整理版）》及《网站修正与变更需求（中文版）》</w:t>
            </w:r>
          </w:p>
        </w:tc>
      </w:tr>
    </w:tbl>
    <w:p w14:paraId="03A5DA39">
      <w:pPr>
        <w:spacing w:before="240" w:after="0"/>
      </w:pPr>
    </w:p>
    <w:tbl>
      <w:tblPr>
        <w:tblStyle w:val="11"/>
        <w:tblW w:w="9638" w:type="dxa"/>
        <w:tblInd w:w="0" w:type="dxa"/>
        <w:tblBorders>
          <w:top w:val="single" w:color="1F3B57" w:sz="6" w:space="0"/>
          <w:left w:val="single" w:color="1F3B57" w:sz="6" w:space="0"/>
          <w:bottom w:val="single" w:color="1F3B57" w:sz="6" w:space="0"/>
          <w:right w:val="single" w:color="1F3B57" w:sz="6" w:space="0"/>
          <w:insideH w:val="none" w:color="auto" w:sz="0" w:space="0"/>
          <w:insideV w:val="none" w:color="auto" w:sz="0" w:space="0"/>
        </w:tblBorders>
        <w:tblLayout w:type="autofit"/>
        <w:tblCellMar>
          <w:top w:w="0" w:type="dxa"/>
          <w:left w:w="10" w:type="dxa"/>
          <w:bottom w:w="0" w:type="dxa"/>
          <w:right w:w="10" w:type="dxa"/>
        </w:tblCellMar>
      </w:tblPr>
      <w:tblGrid>
        <w:gridCol w:w="9638"/>
      </w:tblGrid>
      <w:tr w14:paraId="084AF6FF">
        <w:tc>
          <w:tcPr>
            <w:tcW w:w="9638" w:type="dxa"/>
            <w:shd w:val="clear" w:color="auto" w:fill="DCEAF5"/>
            <w:tcMar>
              <w:top w:w="160" w:type="dxa"/>
              <w:left w:w="200" w:type="dxa"/>
              <w:bottom w:w="160" w:type="dxa"/>
              <w:right w:w="200" w:type="dxa"/>
            </w:tcMar>
          </w:tcPr>
          <w:p w14:paraId="08575A3F">
            <w:r>
              <w:rPr>
                <w:b/>
                <w:bCs/>
                <w:color w:val="1F3B57"/>
              </w:rPr>
              <w:t>结论：</w:t>
            </w:r>
            <w:r>
              <w:t>本批问题集中在交易合规与信任（T&amp;C/费用展示）、预约改期数据一致性、订单状态与通知链路、以及地址信息完整性。建议优先处理 P0 项（1、4、5），再处理状态同步与字段区分类问题，最后完善购物车与发票相关的产品确认项。</w:t>
            </w:r>
          </w:p>
        </w:tc>
      </w:tr>
    </w:tbl>
    <w:p w14:paraId="7FA5F20A">
      <w:pPr>
        <w:pStyle w:val="2"/>
        <w:pBdr>
          <w:bottom w:val="single" w:color="1F3B57" w:sz="8" w:space="4"/>
        </w:pBdr>
        <w:spacing w:before="400" w:after="200"/>
      </w:pPr>
      <w:r>
        <w:rPr>
          <w:color w:val="1F3B57"/>
        </w:rPr>
        <w:t>一、优先级总览</w:t>
      </w:r>
    </w:p>
    <w:tbl>
      <w:tblPr>
        <w:tblStyle w:val="11"/>
        <w:tblW w:w="963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500"/>
        <w:gridCol w:w="900"/>
        <w:gridCol w:w="4738"/>
        <w:gridCol w:w="3500"/>
      </w:tblGrid>
      <w:tr w14:paraId="6FF66E28">
        <w:trPr>
          <w:tblHeader/>
        </w:trPr>
        <w:tc>
          <w:tcPr>
            <w:tcW w:w="500" w:type="dxa"/>
            <w:shd w:val="clear" w:color="auto" w:fill="1F3B57"/>
            <w:tcMar>
              <w:top w:w="80" w:type="dxa"/>
              <w:left w:w="100" w:type="dxa"/>
              <w:bottom w:w="80" w:type="dxa"/>
              <w:right w:w="100" w:type="dxa"/>
            </w:tcMar>
            <w:vAlign w:val="center"/>
          </w:tcPr>
          <w:p w14:paraId="467FD085">
            <w:r>
              <w:rPr>
                <w:b/>
                <w:bCs/>
                <w:color w:val="FFFFFF"/>
                <w:sz w:val="19"/>
                <w:szCs w:val="19"/>
              </w:rPr>
              <w:t>序号</w:t>
            </w:r>
          </w:p>
        </w:tc>
        <w:tc>
          <w:tcPr>
            <w:tcW w:w="900" w:type="dxa"/>
            <w:shd w:val="clear" w:color="auto" w:fill="1F3B57"/>
            <w:tcMar>
              <w:top w:w="80" w:type="dxa"/>
              <w:left w:w="100" w:type="dxa"/>
              <w:bottom w:w="80" w:type="dxa"/>
              <w:right w:w="100" w:type="dxa"/>
            </w:tcMar>
            <w:vAlign w:val="center"/>
          </w:tcPr>
          <w:p w14:paraId="069567B2">
            <w:r>
              <w:rPr>
                <w:b/>
                <w:bCs/>
                <w:color w:val="FFFFFF"/>
                <w:sz w:val="19"/>
                <w:szCs w:val="19"/>
              </w:rPr>
              <w:t>优先级</w:t>
            </w:r>
          </w:p>
        </w:tc>
        <w:tc>
          <w:tcPr>
            <w:tcW w:w="4738" w:type="dxa"/>
            <w:shd w:val="clear" w:color="auto" w:fill="1F3B57"/>
            <w:tcMar>
              <w:top w:w="80" w:type="dxa"/>
              <w:left w:w="100" w:type="dxa"/>
              <w:bottom w:w="80" w:type="dxa"/>
              <w:right w:w="100" w:type="dxa"/>
            </w:tcMar>
            <w:vAlign w:val="center"/>
          </w:tcPr>
          <w:p w14:paraId="652B05B0">
            <w:r>
              <w:rPr>
                <w:b/>
                <w:bCs/>
                <w:color w:val="FFFFFF"/>
                <w:sz w:val="19"/>
                <w:szCs w:val="19"/>
              </w:rPr>
              <w:t>问题</w:t>
            </w:r>
          </w:p>
        </w:tc>
        <w:tc>
          <w:tcPr>
            <w:tcW w:w="3500" w:type="dxa"/>
            <w:shd w:val="clear" w:color="auto" w:fill="1F3B57"/>
            <w:tcMar>
              <w:top w:w="80" w:type="dxa"/>
              <w:left w:w="100" w:type="dxa"/>
              <w:bottom w:w="80" w:type="dxa"/>
              <w:right w:w="100" w:type="dxa"/>
            </w:tcMar>
            <w:vAlign w:val="center"/>
          </w:tcPr>
          <w:p w14:paraId="535735AA">
            <w:r>
              <w:rPr>
                <w:b/>
                <w:bCs/>
                <w:color w:val="FFFFFF"/>
                <w:sz w:val="19"/>
                <w:szCs w:val="19"/>
              </w:rPr>
              <w:t>责任范围</w:t>
            </w:r>
          </w:p>
        </w:tc>
      </w:tr>
      <w:tr w14:paraId="3D4C6572">
        <w:tc>
          <w:tcPr>
            <w:tcW w:w="500" w:type="dxa"/>
            <w:shd w:val="clear" w:color="auto" w:fill="FFFFFF"/>
            <w:tcMar>
              <w:top w:w="70" w:type="dxa"/>
              <w:left w:w="100" w:type="dxa"/>
              <w:bottom w:w="70" w:type="dxa"/>
              <w:right w:w="100" w:type="dxa"/>
            </w:tcMar>
            <w:vAlign w:val="center"/>
          </w:tcPr>
          <w:p w14:paraId="1AE5DDAD">
            <w:pPr>
              <w:spacing w:after="0"/>
            </w:pPr>
            <w:r>
              <w:t>1</w:t>
            </w:r>
          </w:p>
        </w:tc>
        <w:tc>
          <w:tcPr>
            <w:tcW w:w="900" w:type="dxa"/>
            <w:shd w:val="clear" w:color="auto" w:fill="FFFFFF"/>
            <w:tcMar>
              <w:top w:w="70" w:type="dxa"/>
              <w:left w:w="100" w:type="dxa"/>
              <w:bottom w:w="70" w:type="dxa"/>
              <w:right w:w="100" w:type="dxa"/>
            </w:tcMar>
            <w:vAlign w:val="center"/>
          </w:tcPr>
          <w:p w14:paraId="7177FF1C">
            <w:pPr>
              <w:spacing w:after="0"/>
            </w:pPr>
            <w:r>
              <w:rPr>
                <w:b/>
                <w:bCs/>
                <w:color w:val="C0392B"/>
              </w:rPr>
              <w:t>P0</w:t>
            </w:r>
          </w:p>
        </w:tc>
        <w:tc>
          <w:tcPr>
            <w:tcW w:w="4738" w:type="dxa"/>
            <w:shd w:val="clear" w:color="auto" w:fill="FFFFFF"/>
            <w:tcMar>
              <w:top w:w="70" w:type="dxa"/>
              <w:left w:w="100" w:type="dxa"/>
              <w:bottom w:w="70" w:type="dxa"/>
              <w:right w:w="100" w:type="dxa"/>
            </w:tcMar>
            <w:vAlign w:val="center"/>
          </w:tcPr>
          <w:p w14:paraId="54D0FBFF">
            <w:pPr>
              <w:spacing w:after="0"/>
            </w:pPr>
            <w:r>
              <w:t>T&amp;C 未更新为最新版本；Stripe 手续费展示口径不一致</w:t>
            </w:r>
          </w:p>
        </w:tc>
        <w:tc>
          <w:tcPr>
            <w:tcW w:w="3500" w:type="dxa"/>
            <w:shd w:val="clear" w:color="auto" w:fill="FFFFFF"/>
            <w:tcMar>
              <w:top w:w="70" w:type="dxa"/>
              <w:left w:w="100" w:type="dxa"/>
              <w:bottom w:w="70" w:type="dxa"/>
              <w:right w:w="100" w:type="dxa"/>
            </w:tcMar>
            <w:vAlign w:val="center"/>
          </w:tcPr>
          <w:p w14:paraId="3C1ED382">
            <w:pPr>
              <w:spacing w:after="0"/>
            </w:pPr>
            <w:r>
              <w:t>前端 + 产品</w:t>
            </w:r>
          </w:p>
        </w:tc>
      </w:tr>
      <w:tr w14:paraId="4D59643A">
        <w:tc>
          <w:tcPr>
            <w:tcW w:w="500" w:type="dxa"/>
            <w:shd w:val="clear" w:color="auto" w:fill="F2F2F2"/>
            <w:tcMar>
              <w:top w:w="70" w:type="dxa"/>
              <w:left w:w="100" w:type="dxa"/>
              <w:bottom w:w="70" w:type="dxa"/>
              <w:right w:w="100" w:type="dxa"/>
            </w:tcMar>
            <w:vAlign w:val="center"/>
          </w:tcPr>
          <w:p w14:paraId="43FBC366">
            <w:pPr>
              <w:spacing w:after="0"/>
            </w:pPr>
            <w:r>
              <w:t>2</w:t>
            </w:r>
          </w:p>
        </w:tc>
        <w:tc>
          <w:tcPr>
            <w:tcW w:w="900" w:type="dxa"/>
            <w:shd w:val="clear" w:color="auto" w:fill="F2F2F2"/>
            <w:tcMar>
              <w:top w:w="70" w:type="dxa"/>
              <w:left w:w="100" w:type="dxa"/>
              <w:bottom w:w="70" w:type="dxa"/>
              <w:right w:w="100" w:type="dxa"/>
            </w:tcMar>
            <w:vAlign w:val="center"/>
          </w:tcPr>
          <w:p w14:paraId="1971717C">
            <w:pPr>
              <w:spacing w:after="0"/>
            </w:pPr>
            <w:r>
              <w:rPr>
                <w:b/>
                <w:bCs/>
                <w:color w:val="7F7F7F"/>
              </w:rPr>
              <w:t>P2</w:t>
            </w:r>
          </w:p>
        </w:tc>
        <w:tc>
          <w:tcPr>
            <w:tcW w:w="4738" w:type="dxa"/>
            <w:shd w:val="clear" w:color="auto" w:fill="F2F2F2"/>
            <w:tcMar>
              <w:top w:w="70" w:type="dxa"/>
              <w:left w:w="100" w:type="dxa"/>
              <w:bottom w:w="70" w:type="dxa"/>
              <w:right w:w="100" w:type="dxa"/>
            </w:tcMar>
            <w:vAlign w:val="center"/>
          </w:tcPr>
          <w:p w14:paraId="3E6FDDD2">
            <w:pPr>
              <w:spacing w:after="0"/>
            </w:pPr>
            <w:r>
              <w:t>“Read the full policy”弹窗/链接重复</w:t>
            </w:r>
          </w:p>
        </w:tc>
        <w:tc>
          <w:tcPr>
            <w:tcW w:w="3500" w:type="dxa"/>
            <w:shd w:val="clear" w:color="auto" w:fill="F2F2F2"/>
            <w:tcMar>
              <w:top w:w="70" w:type="dxa"/>
              <w:left w:w="100" w:type="dxa"/>
              <w:bottom w:w="70" w:type="dxa"/>
              <w:right w:w="100" w:type="dxa"/>
            </w:tcMar>
            <w:vAlign w:val="center"/>
          </w:tcPr>
          <w:p w14:paraId="4A346337">
            <w:pPr>
              <w:spacing w:after="0"/>
            </w:pPr>
            <w:r>
              <w:t>前端</w:t>
            </w:r>
          </w:p>
        </w:tc>
      </w:tr>
      <w:tr w14:paraId="44983345">
        <w:tc>
          <w:tcPr>
            <w:tcW w:w="500" w:type="dxa"/>
            <w:shd w:val="clear" w:color="auto" w:fill="FFFFFF"/>
            <w:tcMar>
              <w:top w:w="70" w:type="dxa"/>
              <w:left w:w="100" w:type="dxa"/>
              <w:bottom w:w="70" w:type="dxa"/>
              <w:right w:w="100" w:type="dxa"/>
            </w:tcMar>
            <w:vAlign w:val="center"/>
          </w:tcPr>
          <w:p w14:paraId="27147979">
            <w:pPr>
              <w:spacing w:after="0"/>
            </w:pPr>
            <w:r>
              <w:t>3</w:t>
            </w:r>
          </w:p>
        </w:tc>
        <w:tc>
          <w:tcPr>
            <w:tcW w:w="900" w:type="dxa"/>
            <w:shd w:val="clear" w:color="auto" w:fill="FFFFFF"/>
            <w:tcMar>
              <w:top w:w="70" w:type="dxa"/>
              <w:left w:w="100" w:type="dxa"/>
              <w:bottom w:w="70" w:type="dxa"/>
              <w:right w:w="100" w:type="dxa"/>
            </w:tcMar>
            <w:vAlign w:val="center"/>
          </w:tcPr>
          <w:p w14:paraId="0ADE4B75">
            <w:pPr>
              <w:spacing w:after="0"/>
            </w:pPr>
            <w:r>
              <w:rPr>
                <w:b/>
                <w:bCs/>
                <w:color w:val="C87F0A"/>
              </w:rPr>
              <w:t>P1</w:t>
            </w:r>
          </w:p>
        </w:tc>
        <w:tc>
          <w:tcPr>
            <w:tcW w:w="4738" w:type="dxa"/>
            <w:shd w:val="clear" w:color="auto" w:fill="FFFFFF"/>
            <w:tcMar>
              <w:top w:w="70" w:type="dxa"/>
              <w:left w:w="100" w:type="dxa"/>
              <w:bottom w:w="70" w:type="dxa"/>
              <w:right w:w="100" w:type="dxa"/>
            </w:tcMar>
            <w:vAlign w:val="center"/>
          </w:tcPr>
          <w:p w14:paraId="18985BCD">
            <w:pPr>
              <w:spacing w:after="0"/>
            </w:pPr>
            <w:r>
              <w:t>界面中英文文案混排</w:t>
            </w:r>
          </w:p>
        </w:tc>
        <w:tc>
          <w:tcPr>
            <w:tcW w:w="3500" w:type="dxa"/>
            <w:shd w:val="clear" w:color="auto" w:fill="FFFFFF"/>
            <w:tcMar>
              <w:top w:w="70" w:type="dxa"/>
              <w:left w:w="100" w:type="dxa"/>
              <w:bottom w:w="70" w:type="dxa"/>
              <w:right w:w="100" w:type="dxa"/>
            </w:tcMar>
            <w:vAlign w:val="center"/>
          </w:tcPr>
          <w:p w14:paraId="004D0FBC">
            <w:pPr>
              <w:spacing w:after="0"/>
            </w:pPr>
            <w:r>
              <w:t>前端 + 产品 / 文案</w:t>
            </w:r>
          </w:p>
        </w:tc>
      </w:tr>
      <w:tr w14:paraId="4A35D3D3">
        <w:tc>
          <w:tcPr>
            <w:tcW w:w="500" w:type="dxa"/>
            <w:shd w:val="clear" w:color="auto" w:fill="F2F2F2"/>
            <w:tcMar>
              <w:top w:w="70" w:type="dxa"/>
              <w:left w:w="100" w:type="dxa"/>
              <w:bottom w:w="70" w:type="dxa"/>
              <w:right w:w="100" w:type="dxa"/>
            </w:tcMar>
            <w:vAlign w:val="center"/>
          </w:tcPr>
          <w:p w14:paraId="47F1EE29">
            <w:pPr>
              <w:spacing w:after="0"/>
            </w:pPr>
            <w:r>
              <w:t>4</w:t>
            </w:r>
          </w:p>
        </w:tc>
        <w:tc>
          <w:tcPr>
            <w:tcW w:w="900" w:type="dxa"/>
            <w:shd w:val="clear" w:color="auto" w:fill="F2F2F2"/>
            <w:tcMar>
              <w:top w:w="70" w:type="dxa"/>
              <w:left w:w="100" w:type="dxa"/>
              <w:bottom w:w="70" w:type="dxa"/>
              <w:right w:w="100" w:type="dxa"/>
            </w:tcMar>
            <w:vAlign w:val="center"/>
          </w:tcPr>
          <w:p w14:paraId="481655FC">
            <w:pPr>
              <w:spacing w:after="0"/>
            </w:pPr>
            <w:r>
              <w:rPr>
                <w:b/>
                <w:bCs/>
                <w:color w:val="C0392B"/>
              </w:rPr>
              <w:t>P0</w:t>
            </w:r>
          </w:p>
        </w:tc>
        <w:tc>
          <w:tcPr>
            <w:tcW w:w="4738" w:type="dxa"/>
            <w:shd w:val="clear" w:color="auto" w:fill="F2F2F2"/>
            <w:tcMar>
              <w:top w:w="70" w:type="dxa"/>
              <w:left w:w="100" w:type="dxa"/>
              <w:bottom w:w="70" w:type="dxa"/>
              <w:right w:w="100" w:type="dxa"/>
            </w:tcMar>
            <w:vAlign w:val="center"/>
          </w:tcPr>
          <w:p w14:paraId="0702106E">
            <w:pPr>
              <w:spacing w:after="0"/>
            </w:pPr>
            <w:r>
              <w:t>改期后原时间段未禁用，可重复选择同一时段</w:t>
            </w:r>
          </w:p>
        </w:tc>
        <w:tc>
          <w:tcPr>
            <w:tcW w:w="3500" w:type="dxa"/>
            <w:shd w:val="clear" w:color="auto" w:fill="F2F2F2"/>
            <w:tcMar>
              <w:top w:w="70" w:type="dxa"/>
              <w:left w:w="100" w:type="dxa"/>
              <w:bottom w:w="70" w:type="dxa"/>
              <w:right w:w="100" w:type="dxa"/>
            </w:tcMar>
            <w:vAlign w:val="center"/>
          </w:tcPr>
          <w:p w14:paraId="370010E0">
            <w:pPr>
              <w:spacing w:after="0"/>
            </w:pPr>
            <w:r>
              <w:t>前端 + 后端</w:t>
            </w:r>
          </w:p>
        </w:tc>
      </w:tr>
      <w:tr w14:paraId="67C9F305">
        <w:tc>
          <w:tcPr>
            <w:tcW w:w="500" w:type="dxa"/>
            <w:shd w:val="clear" w:color="auto" w:fill="FFFFFF"/>
            <w:tcMar>
              <w:top w:w="70" w:type="dxa"/>
              <w:left w:w="100" w:type="dxa"/>
              <w:bottom w:w="70" w:type="dxa"/>
              <w:right w:w="100" w:type="dxa"/>
            </w:tcMar>
            <w:vAlign w:val="center"/>
          </w:tcPr>
          <w:p w14:paraId="30B581DC">
            <w:pPr>
              <w:spacing w:after="0"/>
            </w:pPr>
            <w:r>
              <w:t>5</w:t>
            </w:r>
          </w:p>
        </w:tc>
        <w:tc>
          <w:tcPr>
            <w:tcW w:w="900" w:type="dxa"/>
            <w:shd w:val="clear" w:color="auto" w:fill="FFFFFF"/>
            <w:tcMar>
              <w:top w:w="70" w:type="dxa"/>
              <w:left w:w="100" w:type="dxa"/>
              <w:bottom w:w="70" w:type="dxa"/>
              <w:right w:w="100" w:type="dxa"/>
            </w:tcMar>
            <w:vAlign w:val="center"/>
          </w:tcPr>
          <w:p w14:paraId="46C1005F">
            <w:pPr>
              <w:spacing w:after="0"/>
            </w:pPr>
            <w:r>
              <w:rPr>
                <w:b/>
                <w:bCs/>
                <w:color w:val="C0392B"/>
              </w:rPr>
              <w:t>P0</w:t>
            </w:r>
          </w:p>
        </w:tc>
        <w:tc>
          <w:tcPr>
            <w:tcW w:w="4738" w:type="dxa"/>
            <w:shd w:val="clear" w:color="auto" w:fill="FFFFFF"/>
            <w:tcMar>
              <w:top w:w="70" w:type="dxa"/>
              <w:left w:w="100" w:type="dxa"/>
              <w:bottom w:w="70" w:type="dxa"/>
              <w:right w:w="100" w:type="dxa"/>
            </w:tcMar>
            <w:vAlign w:val="center"/>
          </w:tcPr>
          <w:p w14:paraId="681FDB28">
            <w:pPr>
              <w:spacing w:after="0"/>
            </w:pPr>
            <w:r>
              <w:t>客服后台与 WhatsApp 未收到订单及改期通知</w:t>
            </w:r>
          </w:p>
        </w:tc>
        <w:tc>
          <w:tcPr>
            <w:tcW w:w="3500" w:type="dxa"/>
            <w:shd w:val="clear" w:color="auto" w:fill="FFFFFF"/>
            <w:tcMar>
              <w:top w:w="70" w:type="dxa"/>
              <w:left w:w="100" w:type="dxa"/>
              <w:bottom w:w="70" w:type="dxa"/>
              <w:right w:w="100" w:type="dxa"/>
            </w:tcMar>
            <w:vAlign w:val="center"/>
          </w:tcPr>
          <w:p w14:paraId="16C2FD81">
            <w:pPr>
              <w:spacing w:after="0"/>
            </w:pPr>
            <w:r>
              <w:t>后端</w:t>
            </w:r>
          </w:p>
        </w:tc>
      </w:tr>
      <w:tr w14:paraId="358CC050">
        <w:tc>
          <w:tcPr>
            <w:tcW w:w="500" w:type="dxa"/>
            <w:shd w:val="clear" w:color="auto" w:fill="F2F2F2"/>
            <w:tcMar>
              <w:top w:w="70" w:type="dxa"/>
              <w:left w:w="100" w:type="dxa"/>
              <w:bottom w:w="70" w:type="dxa"/>
              <w:right w:w="100" w:type="dxa"/>
            </w:tcMar>
            <w:vAlign w:val="center"/>
          </w:tcPr>
          <w:p w14:paraId="6E220110">
            <w:pPr>
              <w:spacing w:after="0"/>
            </w:pPr>
            <w:r>
              <w:t>6</w:t>
            </w:r>
          </w:p>
        </w:tc>
        <w:tc>
          <w:tcPr>
            <w:tcW w:w="900" w:type="dxa"/>
            <w:shd w:val="clear" w:color="auto" w:fill="F2F2F2"/>
            <w:tcMar>
              <w:top w:w="70" w:type="dxa"/>
              <w:left w:w="100" w:type="dxa"/>
              <w:bottom w:w="70" w:type="dxa"/>
              <w:right w:w="100" w:type="dxa"/>
            </w:tcMar>
            <w:vAlign w:val="center"/>
          </w:tcPr>
          <w:p w14:paraId="3C11C68B">
            <w:pPr>
              <w:spacing w:after="0"/>
            </w:pPr>
            <w:r>
              <w:rPr>
                <w:b/>
                <w:bCs/>
                <w:color w:val="C87F0A"/>
              </w:rPr>
              <w:t>P1</w:t>
            </w:r>
          </w:p>
        </w:tc>
        <w:tc>
          <w:tcPr>
            <w:tcW w:w="4738" w:type="dxa"/>
            <w:shd w:val="clear" w:color="auto" w:fill="F2F2F2"/>
            <w:tcMar>
              <w:top w:w="70" w:type="dxa"/>
              <w:left w:w="100" w:type="dxa"/>
              <w:bottom w:w="70" w:type="dxa"/>
              <w:right w:w="100" w:type="dxa"/>
            </w:tcMar>
            <w:vAlign w:val="center"/>
          </w:tcPr>
          <w:p w14:paraId="05CE7DCE">
            <w:pPr>
              <w:spacing w:after="0"/>
            </w:pPr>
            <w:r>
              <w:t>订单状态变为“Team assigned”后前端未同步高亮</w:t>
            </w:r>
          </w:p>
        </w:tc>
        <w:tc>
          <w:tcPr>
            <w:tcW w:w="3500" w:type="dxa"/>
            <w:shd w:val="clear" w:color="auto" w:fill="F2F2F2"/>
            <w:tcMar>
              <w:top w:w="70" w:type="dxa"/>
              <w:left w:w="100" w:type="dxa"/>
              <w:bottom w:w="70" w:type="dxa"/>
              <w:right w:w="100" w:type="dxa"/>
            </w:tcMar>
            <w:vAlign w:val="center"/>
          </w:tcPr>
          <w:p w14:paraId="2ED37A57">
            <w:pPr>
              <w:spacing w:after="0"/>
            </w:pPr>
            <w:r>
              <w:t>前端 + 后端</w:t>
            </w:r>
          </w:p>
        </w:tc>
      </w:tr>
      <w:tr w14:paraId="5A79CD72">
        <w:tc>
          <w:tcPr>
            <w:tcW w:w="500" w:type="dxa"/>
            <w:shd w:val="clear" w:color="auto" w:fill="FFFFFF"/>
            <w:tcMar>
              <w:top w:w="70" w:type="dxa"/>
              <w:left w:w="100" w:type="dxa"/>
              <w:bottom w:w="70" w:type="dxa"/>
              <w:right w:w="100" w:type="dxa"/>
            </w:tcMar>
            <w:vAlign w:val="center"/>
          </w:tcPr>
          <w:p w14:paraId="29CF0B18">
            <w:pPr>
              <w:spacing w:after="0"/>
            </w:pPr>
            <w:r>
              <w:t>7</w:t>
            </w:r>
          </w:p>
        </w:tc>
        <w:tc>
          <w:tcPr>
            <w:tcW w:w="900" w:type="dxa"/>
            <w:shd w:val="clear" w:color="auto" w:fill="FFFFFF"/>
            <w:tcMar>
              <w:top w:w="70" w:type="dxa"/>
              <w:left w:w="100" w:type="dxa"/>
              <w:bottom w:w="70" w:type="dxa"/>
              <w:right w:w="100" w:type="dxa"/>
            </w:tcMar>
            <w:vAlign w:val="center"/>
          </w:tcPr>
          <w:p w14:paraId="7C14D6D3">
            <w:pPr>
              <w:spacing w:after="0"/>
            </w:pPr>
            <w:r>
              <w:rPr>
                <w:b/>
                <w:bCs/>
                <w:color w:val="7F7F7F"/>
              </w:rPr>
              <w:t>P2</w:t>
            </w:r>
          </w:p>
        </w:tc>
        <w:tc>
          <w:tcPr>
            <w:tcW w:w="4738" w:type="dxa"/>
            <w:shd w:val="clear" w:color="auto" w:fill="FFFFFF"/>
            <w:tcMar>
              <w:top w:w="70" w:type="dxa"/>
              <w:left w:w="100" w:type="dxa"/>
              <w:bottom w:w="70" w:type="dxa"/>
              <w:right w:w="100" w:type="dxa"/>
            </w:tcMar>
            <w:vAlign w:val="center"/>
          </w:tcPr>
          <w:p w14:paraId="5E97C28C">
            <w:pPr>
              <w:spacing w:after="0"/>
            </w:pPr>
            <w:r>
              <w:t>购物车页面缺少“继续添加服务”入口</w:t>
            </w:r>
          </w:p>
        </w:tc>
        <w:tc>
          <w:tcPr>
            <w:tcW w:w="3500" w:type="dxa"/>
            <w:shd w:val="clear" w:color="auto" w:fill="FFFFFF"/>
            <w:tcMar>
              <w:top w:w="70" w:type="dxa"/>
              <w:left w:w="100" w:type="dxa"/>
              <w:bottom w:w="70" w:type="dxa"/>
              <w:right w:w="100" w:type="dxa"/>
            </w:tcMar>
            <w:vAlign w:val="center"/>
          </w:tcPr>
          <w:p w14:paraId="577F6FBF">
            <w:pPr>
              <w:spacing w:after="0"/>
            </w:pPr>
            <w:r>
              <w:t>前端</w:t>
            </w:r>
          </w:p>
        </w:tc>
      </w:tr>
      <w:tr w14:paraId="146227D9">
        <w:tc>
          <w:tcPr>
            <w:tcW w:w="500" w:type="dxa"/>
            <w:shd w:val="clear" w:color="auto" w:fill="F2F2F2"/>
            <w:tcMar>
              <w:top w:w="70" w:type="dxa"/>
              <w:left w:w="100" w:type="dxa"/>
              <w:bottom w:w="70" w:type="dxa"/>
              <w:right w:w="100" w:type="dxa"/>
            </w:tcMar>
            <w:vAlign w:val="center"/>
          </w:tcPr>
          <w:p w14:paraId="1444CF65">
            <w:pPr>
              <w:spacing w:after="0"/>
            </w:pPr>
            <w:r>
              <w:t>8</w:t>
            </w:r>
          </w:p>
        </w:tc>
        <w:tc>
          <w:tcPr>
            <w:tcW w:w="900" w:type="dxa"/>
            <w:shd w:val="clear" w:color="auto" w:fill="F2F2F2"/>
            <w:tcMar>
              <w:top w:w="70" w:type="dxa"/>
              <w:left w:w="100" w:type="dxa"/>
              <w:bottom w:w="70" w:type="dxa"/>
              <w:right w:w="100" w:type="dxa"/>
            </w:tcMar>
            <w:vAlign w:val="center"/>
          </w:tcPr>
          <w:p w14:paraId="6253C38B">
            <w:pPr>
              <w:spacing w:after="0"/>
            </w:pPr>
            <w:r>
              <w:rPr>
                <w:b/>
                <w:bCs/>
                <w:color w:val="C87F0A"/>
              </w:rPr>
              <w:t>P1</w:t>
            </w:r>
          </w:p>
        </w:tc>
        <w:tc>
          <w:tcPr>
            <w:tcW w:w="4738" w:type="dxa"/>
            <w:shd w:val="clear" w:color="auto" w:fill="F2F2F2"/>
            <w:tcMar>
              <w:top w:w="70" w:type="dxa"/>
              <w:left w:w="100" w:type="dxa"/>
              <w:bottom w:w="70" w:type="dxa"/>
              <w:right w:w="100" w:type="dxa"/>
            </w:tcMar>
            <w:vAlign w:val="center"/>
          </w:tcPr>
          <w:p w14:paraId="7B91746F">
            <w:pPr>
              <w:spacing w:after="0"/>
            </w:pPr>
            <w:r>
              <w:t>已保存的银行卡信息未能持久化</w:t>
            </w:r>
          </w:p>
        </w:tc>
        <w:tc>
          <w:tcPr>
            <w:tcW w:w="3500" w:type="dxa"/>
            <w:shd w:val="clear" w:color="auto" w:fill="F2F2F2"/>
            <w:tcMar>
              <w:top w:w="70" w:type="dxa"/>
              <w:left w:w="100" w:type="dxa"/>
              <w:bottom w:w="70" w:type="dxa"/>
              <w:right w:w="100" w:type="dxa"/>
            </w:tcMar>
            <w:vAlign w:val="center"/>
          </w:tcPr>
          <w:p w14:paraId="1E7F342E">
            <w:pPr>
              <w:spacing w:after="0"/>
            </w:pPr>
            <w:r>
              <w:t>前端 + 后端 / 支付</w:t>
            </w:r>
          </w:p>
        </w:tc>
      </w:tr>
      <w:tr w14:paraId="3C0D5406">
        <w:tc>
          <w:tcPr>
            <w:tcW w:w="500" w:type="dxa"/>
            <w:shd w:val="clear" w:color="auto" w:fill="FFFFFF"/>
            <w:tcMar>
              <w:top w:w="70" w:type="dxa"/>
              <w:left w:w="100" w:type="dxa"/>
              <w:bottom w:w="70" w:type="dxa"/>
              <w:right w:w="100" w:type="dxa"/>
            </w:tcMar>
            <w:vAlign w:val="center"/>
          </w:tcPr>
          <w:p w14:paraId="2DDB3D20">
            <w:pPr>
              <w:spacing w:after="0"/>
            </w:pPr>
            <w:r>
              <w:t>9</w:t>
            </w:r>
          </w:p>
        </w:tc>
        <w:tc>
          <w:tcPr>
            <w:tcW w:w="900" w:type="dxa"/>
            <w:shd w:val="clear" w:color="auto" w:fill="FFFFFF"/>
            <w:tcMar>
              <w:top w:w="70" w:type="dxa"/>
              <w:left w:w="100" w:type="dxa"/>
              <w:bottom w:w="70" w:type="dxa"/>
              <w:right w:w="100" w:type="dxa"/>
            </w:tcMar>
            <w:vAlign w:val="center"/>
          </w:tcPr>
          <w:p w14:paraId="3415D70D">
            <w:pPr>
              <w:spacing w:after="0"/>
            </w:pPr>
            <w:r>
              <w:rPr>
                <w:b/>
                <w:bCs/>
                <w:color w:val="C87F0A"/>
              </w:rPr>
              <w:t>P1</w:t>
            </w:r>
          </w:p>
        </w:tc>
        <w:tc>
          <w:tcPr>
            <w:tcW w:w="4738" w:type="dxa"/>
            <w:shd w:val="clear" w:color="auto" w:fill="FFFFFF"/>
            <w:tcMar>
              <w:top w:w="70" w:type="dxa"/>
              <w:left w:w="100" w:type="dxa"/>
              <w:bottom w:w="70" w:type="dxa"/>
              <w:right w:w="100" w:type="dxa"/>
            </w:tcMar>
            <w:vAlign w:val="center"/>
          </w:tcPr>
          <w:p w14:paraId="4A56FB9C">
            <w:pPr>
              <w:spacing w:after="0"/>
            </w:pPr>
            <w:r>
              <w:t>Booking Note（客户备注）与 Remark（客服内部备注）字段混用</w:t>
            </w:r>
          </w:p>
        </w:tc>
        <w:tc>
          <w:tcPr>
            <w:tcW w:w="3500" w:type="dxa"/>
            <w:shd w:val="clear" w:color="auto" w:fill="FFFFFF"/>
            <w:tcMar>
              <w:top w:w="70" w:type="dxa"/>
              <w:left w:w="100" w:type="dxa"/>
              <w:bottom w:w="70" w:type="dxa"/>
              <w:right w:w="100" w:type="dxa"/>
            </w:tcMar>
            <w:vAlign w:val="center"/>
          </w:tcPr>
          <w:p w14:paraId="223CCEAF">
            <w:pPr>
              <w:spacing w:after="0"/>
            </w:pPr>
            <w:r>
              <w:t>前端 + 后端</w:t>
            </w:r>
          </w:p>
        </w:tc>
      </w:tr>
      <w:tr w14:paraId="73EE5660">
        <w:tc>
          <w:tcPr>
            <w:tcW w:w="500" w:type="dxa"/>
            <w:shd w:val="clear" w:color="auto" w:fill="F2F2F2"/>
            <w:tcMar>
              <w:top w:w="70" w:type="dxa"/>
              <w:left w:w="100" w:type="dxa"/>
              <w:bottom w:w="70" w:type="dxa"/>
              <w:right w:w="100" w:type="dxa"/>
            </w:tcMar>
            <w:vAlign w:val="center"/>
          </w:tcPr>
          <w:p w14:paraId="1D573017">
            <w:pPr>
              <w:spacing w:after="0"/>
            </w:pPr>
            <w:r>
              <w:t>10</w:t>
            </w:r>
          </w:p>
        </w:tc>
        <w:tc>
          <w:tcPr>
            <w:tcW w:w="900" w:type="dxa"/>
            <w:shd w:val="clear" w:color="auto" w:fill="F2F2F2"/>
            <w:tcMar>
              <w:top w:w="70" w:type="dxa"/>
              <w:left w:w="100" w:type="dxa"/>
              <w:bottom w:w="70" w:type="dxa"/>
              <w:right w:w="100" w:type="dxa"/>
            </w:tcMar>
            <w:vAlign w:val="center"/>
          </w:tcPr>
          <w:p w14:paraId="39DD53BE">
            <w:pPr>
              <w:spacing w:after="0"/>
            </w:pPr>
            <w:r>
              <w:rPr>
                <w:b/>
                <w:bCs/>
                <w:color w:val="7F7F7F"/>
              </w:rPr>
              <w:t>P2</w:t>
            </w:r>
          </w:p>
        </w:tc>
        <w:tc>
          <w:tcPr>
            <w:tcW w:w="4738" w:type="dxa"/>
            <w:shd w:val="clear" w:color="auto" w:fill="F2F2F2"/>
            <w:tcMar>
              <w:top w:w="70" w:type="dxa"/>
              <w:left w:w="100" w:type="dxa"/>
              <w:bottom w:w="70" w:type="dxa"/>
              <w:right w:w="100" w:type="dxa"/>
            </w:tcMar>
            <w:vAlign w:val="center"/>
          </w:tcPr>
          <w:p w14:paraId="0A8B6B9E">
            <w:pPr>
              <w:spacing w:after="0"/>
            </w:pPr>
            <w:r>
              <w:t>发票生成功能能否与 Stripe 对接，待确认</w:t>
            </w:r>
          </w:p>
        </w:tc>
        <w:tc>
          <w:tcPr>
            <w:tcW w:w="3500" w:type="dxa"/>
            <w:shd w:val="clear" w:color="auto" w:fill="F2F2F2"/>
            <w:tcMar>
              <w:top w:w="70" w:type="dxa"/>
              <w:left w:w="100" w:type="dxa"/>
              <w:bottom w:w="70" w:type="dxa"/>
              <w:right w:w="100" w:type="dxa"/>
            </w:tcMar>
            <w:vAlign w:val="center"/>
          </w:tcPr>
          <w:p w14:paraId="2555FDBC">
            <w:pPr>
              <w:spacing w:after="0"/>
            </w:pPr>
            <w:r>
              <w:t>后端 / 产品</w:t>
            </w:r>
          </w:p>
        </w:tc>
      </w:tr>
      <w:tr w14:paraId="7D5539CD">
        <w:tc>
          <w:tcPr>
            <w:tcW w:w="500" w:type="dxa"/>
            <w:shd w:val="clear" w:color="auto" w:fill="FFFFFF"/>
            <w:tcMar>
              <w:top w:w="70" w:type="dxa"/>
              <w:left w:w="100" w:type="dxa"/>
              <w:bottom w:w="70" w:type="dxa"/>
              <w:right w:w="100" w:type="dxa"/>
            </w:tcMar>
            <w:vAlign w:val="center"/>
          </w:tcPr>
          <w:p w14:paraId="326CBB66">
            <w:pPr>
              <w:spacing w:after="0"/>
            </w:pPr>
            <w:r>
              <w:t>11</w:t>
            </w:r>
          </w:p>
        </w:tc>
        <w:tc>
          <w:tcPr>
            <w:tcW w:w="900" w:type="dxa"/>
            <w:shd w:val="clear" w:color="auto" w:fill="FFFFFF"/>
            <w:tcMar>
              <w:top w:w="70" w:type="dxa"/>
              <w:left w:w="100" w:type="dxa"/>
              <w:bottom w:w="70" w:type="dxa"/>
              <w:right w:w="100" w:type="dxa"/>
            </w:tcMar>
            <w:vAlign w:val="center"/>
          </w:tcPr>
          <w:p w14:paraId="41411DE7">
            <w:pPr>
              <w:spacing w:after="0"/>
            </w:pPr>
            <w:r>
              <w:rPr>
                <w:b/>
                <w:bCs/>
                <w:color w:val="C87F0A"/>
              </w:rPr>
              <w:t>P1</w:t>
            </w:r>
          </w:p>
        </w:tc>
        <w:tc>
          <w:tcPr>
            <w:tcW w:w="4738" w:type="dxa"/>
            <w:shd w:val="clear" w:color="auto" w:fill="FFFFFF"/>
            <w:tcMar>
              <w:top w:w="70" w:type="dxa"/>
              <w:left w:w="100" w:type="dxa"/>
              <w:bottom w:w="70" w:type="dxa"/>
              <w:right w:w="100" w:type="dxa"/>
            </w:tcMar>
            <w:vAlign w:val="center"/>
          </w:tcPr>
          <w:p w14:paraId="08C7FE41">
            <w:pPr>
              <w:spacing w:after="0"/>
            </w:pPr>
            <w:r>
              <w:t>地址字段缺少区域定位、房间号、楼栋名称</w:t>
            </w:r>
          </w:p>
        </w:tc>
        <w:tc>
          <w:tcPr>
            <w:tcW w:w="3500" w:type="dxa"/>
            <w:shd w:val="clear" w:color="auto" w:fill="FFFFFF"/>
            <w:tcMar>
              <w:top w:w="70" w:type="dxa"/>
              <w:left w:w="100" w:type="dxa"/>
              <w:bottom w:w="70" w:type="dxa"/>
              <w:right w:w="100" w:type="dxa"/>
            </w:tcMar>
            <w:vAlign w:val="center"/>
          </w:tcPr>
          <w:p w14:paraId="58BE8E85">
            <w:pPr>
              <w:spacing w:after="0"/>
            </w:pPr>
            <w:r>
              <w:t>前端 + 后端</w:t>
            </w:r>
          </w:p>
        </w:tc>
      </w:tr>
    </w:tbl>
    <w:p w14:paraId="545E95B6">
      <w:pPr>
        <w:pStyle w:val="2"/>
        <w:pBdr>
          <w:bottom w:val="single" w:color="1F3B57" w:sz="8" w:space="4"/>
        </w:pBdr>
        <w:spacing w:before="400" w:after="200"/>
      </w:pPr>
      <w:r>
        <w:rPr>
          <w:color w:val="1F3B57"/>
        </w:rPr>
        <w:t>二、详细问题与修改要求</w:t>
      </w:r>
    </w:p>
    <w:p w14:paraId="4901E429">
      <w:pPr>
        <w:pStyle w:val="3"/>
        <w:spacing w:before="320" w:after="120"/>
      </w:pPr>
      <w:r>
        <w:rPr>
          <w:b/>
          <w:bCs/>
          <w:color w:val="1F3B57"/>
        </w:rPr>
        <w:t xml:space="preserve">1. T&amp;C 未更新为最新版本；Stripe 手续费展示口径不一致  </w:t>
      </w:r>
      <w:r>
        <w:rPr>
          <w:b/>
          <w:bCs/>
          <w:color w:val="FFFFFF"/>
          <w:sz w:val="18"/>
          <w:szCs w:val="18"/>
          <w:shd w:val="clear" w:fill="C0392B"/>
        </w:rPr>
        <w:t xml:space="preserve"> P0 </w:t>
      </w:r>
    </w:p>
    <w:tbl>
      <w:tblPr>
        <w:tblStyle w:val="11"/>
        <w:tblW w:w="9638" w:type="dxa"/>
        <w:tblInd w:w="0" w:type="dxa"/>
        <w:tblBorders>
          <w:top w:val="single" w:color="D9D9D9" w:sz="4" w:space="0"/>
          <w:left w:val="single" w:color="D9D9D9" w:sz="4" w:space="0"/>
          <w:bottom w:val="single" w:color="D9D9D9" w:sz="4" w:space="0"/>
          <w:right w:val="single" w:color="D9D9D9" w:sz="4" w:space="0"/>
          <w:insideH w:val="none" w:color="auto" w:sz="0" w:space="0"/>
          <w:insideV w:val="single" w:color="D9D9D9" w:sz="4" w:space="0"/>
        </w:tblBorders>
        <w:tblLayout w:type="autofit"/>
        <w:tblCellMar>
          <w:top w:w="0" w:type="dxa"/>
          <w:left w:w="10" w:type="dxa"/>
          <w:bottom w:w="0" w:type="dxa"/>
          <w:right w:w="10" w:type="dxa"/>
        </w:tblCellMar>
      </w:tblPr>
      <w:tblGrid>
        <w:gridCol w:w="6248"/>
        <w:gridCol w:w="3390"/>
      </w:tblGrid>
      <w:tr w14:paraId="44AE51B4">
        <w:tc>
          <w:tcPr>
            <w:tcW w:w="6300" w:type="dxa"/>
            <w:tcMar>
              <w:top w:w="140" w:type="dxa"/>
              <w:left w:w="160" w:type="dxa"/>
              <w:bottom w:w="140" w:type="dxa"/>
              <w:right w:w="160" w:type="dxa"/>
            </w:tcMar>
          </w:tcPr>
          <w:p w14:paraId="62537786">
            <w:pPr>
              <w:spacing w:before="80"/>
            </w:pPr>
            <w:r>
              <w:rPr>
                <w:b/>
                <w:bCs/>
                <w:color w:val="1F3B57"/>
              </w:rPr>
              <w:t>验收标准：</w:t>
            </w:r>
            <w:r>
              <w:t>弹窗与订单确认页展示的条款为最新版本；Stripe 手续费在所有页面的口径、金额/费率描述完全一致。</w:t>
            </w:r>
          </w:p>
        </w:tc>
        <w:tc>
          <w:tcPr>
            <w:tcW w:w="3338" w:type="dxa"/>
            <w:shd w:val="clear" w:color="auto" w:fill="FAFAFA"/>
            <w:tcMar>
              <w:top w:w="120" w:type="dxa"/>
              <w:left w:w="120" w:type="dxa"/>
              <w:bottom w:w="120" w:type="dxa"/>
              <w:right w:w="120" w:type="dxa"/>
            </w:tcMar>
            <w:vAlign w:val="center"/>
          </w:tcPr>
          <w:p w14:paraId="67F6CAC3">
            <w:pPr>
              <w:spacing w:before="0" w:after="40"/>
              <w:jc w:val="center"/>
            </w:pPr>
            <w:r>
              <w:drawing>
                <wp:inline distT="0" distB="0" distL="0" distR="0">
                  <wp:extent cx="2000250" cy="43243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srcRect/>
                          <a:stretch>
                            <a:fillRect/>
                          </a:stretch>
                        </pic:blipFill>
                        <pic:spPr>
                          <a:xfrm>
                            <a:off x="0" y="0"/>
                            <a:ext cx="2000250" cy="4324350"/>
                          </a:xfrm>
                          <a:prstGeom prst="rect">
                            <a:avLst/>
                          </a:prstGeom>
                        </pic:spPr>
                      </pic:pic>
                    </a:graphicData>
                  </a:graphic>
                </wp:inline>
              </w:drawing>
            </w:r>
          </w:p>
          <w:p w14:paraId="07C2F352">
            <w:pPr>
              <w:spacing w:after="0"/>
              <w:jc w:val="center"/>
            </w:pPr>
            <w:r>
              <w:rPr>
                <w:i/>
                <w:iCs/>
                <w:color w:val="7F7F7F"/>
                <w:sz w:val="16"/>
                <w:szCs w:val="16"/>
              </w:rPr>
              <w:t>图1：“Before you confirm”弹窗——政策链接与 Stripe 手续费说明</w:t>
            </w:r>
          </w:p>
        </w:tc>
      </w:tr>
    </w:tbl>
    <w:p w14:paraId="71D1073E">
      <w:pPr>
        <w:pStyle w:val="3"/>
        <w:spacing w:before="320" w:after="120"/>
      </w:pPr>
      <w:r>
        <w:rPr>
          <w:b/>
          <w:bCs/>
          <w:color w:val="1F3B57"/>
        </w:rPr>
        <w:t xml:space="preserve">2. “Read the full policy”弹窗/链接重复  </w:t>
      </w:r>
      <w:r>
        <w:rPr>
          <w:b/>
          <w:bCs/>
          <w:color w:val="FFFFFF"/>
          <w:sz w:val="18"/>
          <w:szCs w:val="18"/>
          <w:shd w:val="clear" w:fill="7F7F7F"/>
        </w:rPr>
        <w:t xml:space="preserve"> P2 </w:t>
      </w:r>
    </w:p>
    <w:tbl>
      <w:tblPr>
        <w:tblStyle w:val="11"/>
        <w:tblW w:w="9638" w:type="dxa"/>
        <w:tblInd w:w="0" w:type="dxa"/>
        <w:tblBorders>
          <w:top w:val="single" w:color="D9D9D9" w:sz="4" w:space="0"/>
          <w:left w:val="single" w:color="D9D9D9" w:sz="4" w:space="0"/>
          <w:bottom w:val="single" w:color="D9D9D9" w:sz="4" w:space="0"/>
          <w:right w:val="single" w:color="D9D9D9" w:sz="4" w:space="0"/>
          <w:insideH w:val="none" w:color="auto" w:sz="0" w:space="0"/>
          <w:insideV w:val="single" w:color="D9D9D9" w:sz="4" w:space="0"/>
        </w:tblBorders>
        <w:tblLayout w:type="autofit"/>
        <w:tblCellMar>
          <w:top w:w="0" w:type="dxa"/>
          <w:left w:w="10" w:type="dxa"/>
          <w:bottom w:w="0" w:type="dxa"/>
          <w:right w:w="10" w:type="dxa"/>
        </w:tblCellMar>
      </w:tblPr>
      <w:tblGrid>
        <w:gridCol w:w="6248"/>
        <w:gridCol w:w="3390"/>
      </w:tblGrid>
      <w:tr w14:paraId="3A632760">
        <w:tc>
          <w:tcPr>
            <w:tcW w:w="6300" w:type="dxa"/>
            <w:tcMar>
              <w:top w:w="140" w:type="dxa"/>
              <w:left w:w="160" w:type="dxa"/>
              <w:bottom w:w="140" w:type="dxa"/>
              <w:right w:w="160" w:type="dxa"/>
            </w:tcMar>
          </w:tcPr>
          <w:p w14:paraId="4CFDD241">
            <w:pPr>
              <w:spacing w:after="80"/>
            </w:pPr>
            <w:r>
              <w:rPr>
                <w:b/>
                <w:bCs/>
                <w:color w:val="1F3B57"/>
              </w:rPr>
              <w:t>责任范围：</w:t>
            </w:r>
            <w:r>
              <w:t>前端</w:t>
            </w:r>
          </w:p>
          <w:p w14:paraId="0631D03B">
            <w:pPr>
              <w:spacing w:after="80"/>
            </w:pPr>
            <w:r>
              <w:rPr>
                <w:b/>
                <w:bCs/>
                <w:color w:val="1F3B57"/>
              </w:rPr>
              <w:t>现状：</w:t>
            </w:r>
            <w:r>
              <w:t>同一弹窗内同时出现“Read the full policy”链接和下方勾选框中的“HourX's cancellation &amp; refund policy”链接，两者指向同一内容，存在重复。</w:t>
            </w:r>
          </w:p>
          <w:p w14:paraId="43537BDA">
            <w:pPr>
              <w:spacing w:after="40"/>
            </w:pPr>
            <w:r>
              <w:rPr>
                <w:b/>
                <w:bCs/>
                <w:color w:val="1F3B57"/>
              </w:rPr>
              <w:t>修改要求：</w:t>
            </w:r>
          </w:p>
          <w:p w14:paraId="5D734E6C">
            <w:pPr>
              <w:pStyle w:val="16"/>
              <w:numPr>
                <w:ilvl w:val="0"/>
                <w:numId w:val="1"/>
              </w:numPr>
              <w:spacing w:after="60"/>
            </w:pPr>
            <w:r>
              <w:t>合并为一个入口：保留勾选框内的政策链接（用于用户确认已阅读），移除独立的“Read the full policy”链接；或反之，按产品最终决定保留其一。</w:t>
            </w:r>
          </w:p>
          <w:p w14:paraId="456AF0DE">
            <w:pPr>
              <w:pStyle w:val="16"/>
              <w:numPr>
                <w:ilvl w:val="0"/>
                <w:numId w:val="1"/>
              </w:numPr>
              <w:spacing w:after="60"/>
            </w:pPr>
            <w:r>
              <w:t>确保保留的链接可点击跳转，且不影响勾选框的可点击区域。</w:t>
            </w:r>
          </w:p>
          <w:p w14:paraId="48016CFE">
            <w:pPr>
              <w:spacing w:before="80"/>
            </w:pPr>
            <w:r>
              <w:rPr>
                <w:b/>
                <w:bCs/>
                <w:color w:val="1F3B57"/>
              </w:rPr>
              <w:t>验收标准：</w:t>
            </w:r>
            <w:r>
              <w:t>弹窗内政策入口只保留一处，无重复链接；点击可正常跳转到政策页面。</w:t>
            </w:r>
          </w:p>
        </w:tc>
        <w:tc>
          <w:tcPr>
            <w:tcW w:w="3338" w:type="dxa"/>
            <w:shd w:val="clear" w:color="auto" w:fill="FAFAFA"/>
            <w:tcMar>
              <w:top w:w="120" w:type="dxa"/>
              <w:left w:w="120" w:type="dxa"/>
              <w:bottom w:w="120" w:type="dxa"/>
              <w:right w:w="120" w:type="dxa"/>
            </w:tcMar>
            <w:vAlign w:val="center"/>
          </w:tcPr>
          <w:p w14:paraId="346D8FB9">
            <w:pPr>
              <w:spacing w:before="0" w:after="40"/>
              <w:jc w:val="center"/>
            </w:pPr>
            <w:r>
              <w:drawing>
                <wp:inline distT="0" distB="0" distL="0" distR="0">
                  <wp:extent cx="2000250" cy="43243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
                          <a:srcRect/>
                          <a:stretch>
                            <a:fillRect/>
                          </a:stretch>
                        </pic:blipFill>
                        <pic:spPr>
                          <a:xfrm>
                            <a:off x="0" y="0"/>
                            <a:ext cx="2000250" cy="4324350"/>
                          </a:xfrm>
                          <a:prstGeom prst="rect">
                            <a:avLst/>
                          </a:prstGeom>
                        </pic:spPr>
                      </pic:pic>
                    </a:graphicData>
                  </a:graphic>
                </wp:inline>
              </w:drawing>
            </w:r>
          </w:p>
          <w:p w14:paraId="7F47E800">
            <w:pPr>
              <w:spacing w:after="0"/>
              <w:jc w:val="center"/>
            </w:pPr>
            <w:r>
              <w:rPr>
                <w:i/>
                <w:iCs/>
                <w:color w:val="7F7F7F"/>
                <w:sz w:val="16"/>
                <w:szCs w:val="16"/>
              </w:rPr>
              <w:t>图2：弹窗中“Read the full policy”与勾选框政策链接重复</w:t>
            </w:r>
          </w:p>
        </w:tc>
      </w:tr>
    </w:tbl>
    <w:p w14:paraId="34DB2BD8">
      <w:pPr>
        <w:pStyle w:val="3"/>
        <w:spacing w:before="320" w:after="120"/>
      </w:pPr>
      <w:r>
        <w:rPr>
          <w:b/>
          <w:bCs/>
          <w:color w:val="1F3B57"/>
        </w:rPr>
        <w:t xml:space="preserve">3. 界面中英文文案混排  </w:t>
      </w:r>
      <w:r>
        <w:rPr>
          <w:b/>
          <w:bCs/>
          <w:color w:val="FFFFFF"/>
          <w:sz w:val="18"/>
          <w:szCs w:val="18"/>
          <w:shd w:val="clear" w:fill="C87F0A"/>
        </w:rPr>
        <w:t xml:space="preserve"> P1 </w:t>
      </w:r>
    </w:p>
    <w:tbl>
      <w:tblPr>
        <w:tblStyle w:val="11"/>
        <w:tblW w:w="9638" w:type="dxa"/>
        <w:tblInd w:w="0" w:type="dxa"/>
        <w:tblBorders>
          <w:top w:val="single" w:color="D9D9D9" w:sz="4" w:space="0"/>
          <w:left w:val="single" w:color="D9D9D9" w:sz="4" w:space="0"/>
          <w:bottom w:val="single" w:color="D9D9D9" w:sz="4" w:space="0"/>
          <w:right w:val="single" w:color="D9D9D9" w:sz="4" w:space="0"/>
          <w:insideH w:val="none" w:color="auto" w:sz="0" w:space="0"/>
          <w:insideV w:val="single" w:color="D9D9D9" w:sz="4" w:space="0"/>
        </w:tblBorders>
        <w:tblLayout w:type="autofit"/>
        <w:tblCellMar>
          <w:top w:w="0" w:type="dxa"/>
          <w:left w:w="10" w:type="dxa"/>
          <w:bottom w:w="0" w:type="dxa"/>
          <w:right w:w="10" w:type="dxa"/>
        </w:tblCellMar>
      </w:tblPr>
      <w:tblGrid>
        <w:gridCol w:w="6248"/>
        <w:gridCol w:w="3390"/>
      </w:tblGrid>
      <w:tr w14:paraId="2B84AD90">
        <w:tc>
          <w:tcPr>
            <w:tcW w:w="6300" w:type="dxa"/>
            <w:tcMar>
              <w:top w:w="140" w:type="dxa"/>
              <w:left w:w="160" w:type="dxa"/>
              <w:bottom w:w="140" w:type="dxa"/>
              <w:right w:w="160" w:type="dxa"/>
            </w:tcMar>
          </w:tcPr>
          <w:p w14:paraId="684C9AB5">
            <w:pPr>
              <w:spacing w:after="80"/>
            </w:pPr>
            <w:r>
              <w:rPr>
                <w:b/>
                <w:bCs/>
                <w:color w:val="1F3B57"/>
              </w:rPr>
              <w:t>责任范围：</w:t>
            </w:r>
            <w:r>
              <w:t>前端 + 产品 / 文案</w:t>
            </w:r>
          </w:p>
          <w:p w14:paraId="5AEDA69B">
            <w:pPr>
              <w:spacing w:after="80"/>
            </w:pPr>
            <w:r>
              <w:rPr>
                <w:b/>
                <w:bCs/>
                <w:color w:val="1F3B57"/>
              </w:rPr>
              <w:t>现状：</w:t>
            </w:r>
            <w:r>
              <w:t>订单卡片与详情页的规格描述出现中英文混合，例如“Specifications: Unit Types: 1 房型 / Furnished/Unfurnished 家私/無家私”，未做完整的多语言切换。</w:t>
            </w:r>
          </w:p>
          <w:p w14:paraId="36383C41">
            <w:pPr>
              <w:spacing w:after="40"/>
            </w:pPr>
            <w:r>
              <w:rPr>
                <w:b/>
                <w:bCs/>
                <w:color w:val="1F3B57"/>
              </w:rPr>
              <w:t>修改要求：</w:t>
            </w:r>
          </w:p>
          <w:p w14:paraId="790ED8EE">
            <w:pPr>
              <w:pStyle w:val="16"/>
              <w:numPr>
                <w:ilvl w:val="0"/>
                <w:numId w:val="1"/>
              </w:numPr>
              <w:spacing w:after="60"/>
            </w:pPr>
            <w:r>
              <w:t>梳理所有硬编码或部分翻译的文案，纳入统一的多语言（i18n）文案表，不允许中英文字段拼接展示。</w:t>
            </w:r>
          </w:p>
          <w:p w14:paraId="1CE6C004">
            <w:pPr>
              <w:pStyle w:val="16"/>
              <w:numPr>
                <w:ilvl w:val="0"/>
                <w:numId w:val="1"/>
              </w:numPr>
              <w:spacing w:after="60"/>
            </w:pPr>
            <w:r>
              <w:t>按用户当前选择的语言环境完整展示对应语言文案，无对应翻译时以主语言（英文）展示，而不是中英混合。</w:t>
            </w:r>
          </w:p>
          <w:p w14:paraId="341A8913">
            <w:pPr>
              <w:pStyle w:val="16"/>
              <w:numPr>
                <w:ilvl w:val="0"/>
                <w:numId w:val="1"/>
              </w:numPr>
              <w:spacing w:after="60"/>
            </w:pPr>
            <w:r>
              <w:t>对已翻译的简体/繁体中文文案做一次校对，确认用词统一（避免“家私”“傢俬”等不一致写法）。</w:t>
            </w:r>
          </w:p>
          <w:p w14:paraId="1370DE43">
            <w:pPr>
              <w:spacing w:before="80"/>
            </w:pPr>
            <w:r>
              <w:rPr>
                <w:b/>
                <w:bCs/>
                <w:color w:val="1F3B57"/>
              </w:rPr>
              <w:t>验收标准：</w:t>
            </w:r>
            <w:r>
              <w:t>同一语言环境下，订单卡片、详情页等所有文案均为单一语言，不再出现中英文混排。</w:t>
            </w:r>
          </w:p>
        </w:tc>
        <w:tc>
          <w:tcPr>
            <w:tcW w:w="3338" w:type="dxa"/>
            <w:shd w:val="clear" w:color="auto" w:fill="FAFAFA"/>
            <w:tcMar>
              <w:top w:w="120" w:type="dxa"/>
              <w:left w:w="120" w:type="dxa"/>
              <w:bottom w:w="120" w:type="dxa"/>
              <w:right w:w="120" w:type="dxa"/>
            </w:tcMar>
            <w:vAlign w:val="center"/>
          </w:tcPr>
          <w:p w14:paraId="1C5AD807">
            <w:pPr>
              <w:spacing w:before="0" w:after="40"/>
              <w:jc w:val="center"/>
            </w:pPr>
            <w:r>
              <w:drawing>
                <wp:inline distT="0" distB="0" distL="0" distR="0">
                  <wp:extent cx="2000250" cy="4324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5"/>
                          <a:srcRect/>
                          <a:stretch>
                            <a:fillRect/>
                          </a:stretch>
                        </pic:blipFill>
                        <pic:spPr>
                          <a:xfrm>
                            <a:off x="0" y="0"/>
                            <a:ext cx="2000250" cy="4324350"/>
                          </a:xfrm>
                          <a:prstGeom prst="rect">
                            <a:avLst/>
                          </a:prstGeom>
                        </pic:spPr>
                      </pic:pic>
                    </a:graphicData>
                  </a:graphic>
                </wp:inline>
              </w:drawing>
            </w:r>
          </w:p>
          <w:p w14:paraId="663078E0">
            <w:pPr>
              <w:spacing w:after="0"/>
              <w:jc w:val="center"/>
            </w:pPr>
            <w:r>
              <w:rPr>
                <w:i/>
                <w:iCs/>
                <w:color w:val="7F7F7F"/>
                <w:sz w:val="16"/>
                <w:szCs w:val="16"/>
              </w:rPr>
              <w:t>图3：Orders 列表页规格描述中英文混排</w:t>
            </w:r>
          </w:p>
        </w:tc>
      </w:tr>
    </w:tbl>
    <w:p w14:paraId="19C83ED9">
      <w:pPr>
        <w:pStyle w:val="3"/>
        <w:spacing w:before="320" w:after="120"/>
      </w:pPr>
      <w:r>
        <w:rPr>
          <w:b/>
          <w:bCs/>
          <w:color w:val="1F3B57"/>
        </w:rPr>
        <w:t xml:space="preserve">4. 改期后原时间段未禁用，可重复选择同一时段  </w:t>
      </w:r>
      <w:r>
        <w:rPr>
          <w:b/>
          <w:bCs/>
          <w:color w:val="FFFFFF"/>
          <w:sz w:val="18"/>
          <w:szCs w:val="18"/>
          <w:shd w:val="clear" w:fill="C0392B"/>
        </w:rPr>
        <w:t xml:space="preserve"> P0 </w:t>
      </w:r>
    </w:p>
    <w:tbl>
      <w:tblPr>
        <w:tblStyle w:val="11"/>
        <w:tblW w:w="9638" w:type="dxa"/>
        <w:tblInd w:w="0" w:type="dxa"/>
        <w:tblBorders>
          <w:top w:val="single" w:color="D9D9D9" w:sz="4" w:space="0"/>
          <w:left w:val="single" w:color="D9D9D9" w:sz="4" w:space="0"/>
          <w:bottom w:val="single" w:color="D9D9D9" w:sz="4" w:space="0"/>
          <w:right w:val="single" w:color="D9D9D9" w:sz="4" w:space="0"/>
          <w:insideH w:val="none" w:color="auto" w:sz="0" w:space="0"/>
          <w:insideV w:val="single" w:color="D9D9D9" w:sz="4" w:space="0"/>
        </w:tblBorders>
        <w:tblLayout w:type="autofit"/>
        <w:tblCellMar>
          <w:top w:w="0" w:type="dxa"/>
          <w:left w:w="10" w:type="dxa"/>
          <w:bottom w:w="0" w:type="dxa"/>
          <w:right w:w="10" w:type="dxa"/>
        </w:tblCellMar>
      </w:tblPr>
      <w:tblGrid>
        <w:gridCol w:w="6248"/>
        <w:gridCol w:w="3390"/>
      </w:tblGrid>
      <w:tr w14:paraId="3131135D">
        <w:tc>
          <w:tcPr>
            <w:tcW w:w="6300" w:type="dxa"/>
            <w:tcMar>
              <w:top w:w="140" w:type="dxa"/>
              <w:left w:w="160" w:type="dxa"/>
              <w:bottom w:w="140" w:type="dxa"/>
              <w:right w:w="160" w:type="dxa"/>
            </w:tcMar>
          </w:tcPr>
          <w:p w14:paraId="2F528EFF">
            <w:pPr>
              <w:spacing w:after="80"/>
            </w:pPr>
            <w:r>
              <w:rPr>
                <w:b/>
                <w:bCs/>
                <w:color w:val="1F3B57"/>
              </w:rPr>
              <w:t>责任范围：</w:t>
            </w:r>
            <w:r>
              <w:t>前端 + 后端</w:t>
            </w:r>
          </w:p>
          <w:p w14:paraId="1F532503">
            <w:pPr>
              <w:spacing w:after="80"/>
            </w:pPr>
            <w:r>
              <w:rPr>
                <w:b/>
                <w:bCs/>
                <w:color w:val="1F3B57"/>
              </w:rPr>
              <w:t>现状：</w:t>
            </w:r>
            <w:r>
              <w:t>“Reschedule Service”弹窗中，New time slot 下拉默认仍显示与 Current schedule 相同的时间段（如 09:00-11:00、11:00-13:00），改期后用户收到邮件通知正确，但界面未将原时段置灰/禁用，可能导致重复选中原时段而非真正的新时段。</w:t>
            </w:r>
          </w:p>
          <w:p w14:paraId="6FACEEBB">
            <w:pPr>
              <w:spacing w:after="40"/>
            </w:pPr>
            <w:r>
              <w:rPr>
                <w:b/>
                <w:bCs/>
                <w:color w:val="1F3B57"/>
              </w:rPr>
              <w:t>修改要求：</w:t>
            </w:r>
          </w:p>
          <w:p w14:paraId="10544439">
            <w:pPr>
              <w:pStyle w:val="16"/>
              <w:numPr>
                <w:ilvl w:val="0"/>
                <w:numId w:val="1"/>
              </w:numPr>
              <w:spacing w:after="60"/>
            </w:pPr>
            <w:r>
              <w:t>New time slot 下拉列表中，与 Current schedule 相同的时间段应默认置灰不可选（或至少不作为默认选中项），并提示“当前时段”。</w:t>
            </w:r>
          </w:p>
          <w:p w14:paraId="1B27FF96">
            <w:pPr>
              <w:pStyle w:val="16"/>
              <w:numPr>
                <w:ilvl w:val="0"/>
                <w:numId w:val="1"/>
              </w:numPr>
              <w:spacing w:after="60"/>
            </w:pPr>
            <w:r>
              <w:t>校验逻辑：提交改期时若新时段与原时段相同，前端应提示确认或直接拦截，后端同样需要校验并拒绝无变化的“改期”提交。</w:t>
            </w:r>
          </w:p>
          <w:p w14:paraId="2693EE46">
            <w:pPr>
              <w:pStyle w:val="16"/>
              <w:numPr>
                <w:ilvl w:val="0"/>
                <w:numId w:val="1"/>
              </w:numPr>
              <w:spacing w:after="60"/>
            </w:pPr>
            <w:r>
              <w:rPr>
                <w:b/>
                <w:bCs/>
                <w:color w:val="1F3B57"/>
              </w:rPr>
              <w:t>验收标准：</w:t>
            </w:r>
            <w:r>
              <w:t>打开改期弹窗时原时段在列表中不可选或有明显区分</w:t>
            </w:r>
          </w:p>
        </w:tc>
        <w:tc>
          <w:tcPr>
            <w:tcW w:w="3338" w:type="dxa"/>
            <w:shd w:val="clear" w:color="auto" w:fill="FAFAFA"/>
            <w:tcMar>
              <w:top w:w="120" w:type="dxa"/>
              <w:left w:w="120" w:type="dxa"/>
              <w:bottom w:w="120" w:type="dxa"/>
              <w:right w:w="120" w:type="dxa"/>
            </w:tcMar>
            <w:vAlign w:val="center"/>
          </w:tcPr>
          <w:p w14:paraId="7D6AD2C6">
            <w:pPr>
              <w:spacing w:before="0" w:after="40"/>
              <w:jc w:val="center"/>
            </w:pPr>
            <w:r>
              <w:drawing>
                <wp:inline distT="0" distB="0" distL="0" distR="0">
                  <wp:extent cx="2000250" cy="43243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6"/>
                          <a:srcRect/>
                          <a:stretch>
                            <a:fillRect/>
                          </a:stretch>
                        </pic:blipFill>
                        <pic:spPr>
                          <a:xfrm>
                            <a:off x="0" y="0"/>
                            <a:ext cx="2000250" cy="4324350"/>
                          </a:xfrm>
                          <a:prstGeom prst="rect">
                            <a:avLst/>
                          </a:prstGeom>
                        </pic:spPr>
                      </pic:pic>
                    </a:graphicData>
                  </a:graphic>
                </wp:inline>
              </w:drawing>
            </w:r>
          </w:p>
          <w:p w14:paraId="5A4FE2DD">
            <w:pPr>
              <w:spacing w:after="0"/>
              <w:jc w:val="center"/>
            </w:pPr>
            <w:r>
              <w:rPr>
                <w:i/>
                <w:iCs/>
                <w:color w:val="7F7F7F"/>
                <w:sz w:val="16"/>
                <w:szCs w:val="16"/>
              </w:rPr>
              <w:t>图4a：改期弹窗——当前时段 09:00-11:00，新时段仍可选中同一时段</w:t>
            </w:r>
          </w:p>
          <w:p w14:paraId="4BB8CB43">
            <w:pPr>
              <w:spacing w:before="160" w:after="40"/>
              <w:jc w:val="center"/>
            </w:pPr>
            <w:r>
              <w:drawing>
                <wp:inline distT="0" distB="0" distL="0" distR="0">
                  <wp:extent cx="2000250" cy="43243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7"/>
                          <a:srcRect/>
                          <a:stretch>
                            <a:fillRect/>
                          </a:stretch>
                        </pic:blipFill>
                        <pic:spPr>
                          <a:xfrm>
                            <a:off x="0" y="0"/>
                            <a:ext cx="2000250" cy="4324350"/>
                          </a:xfrm>
                          <a:prstGeom prst="rect">
                            <a:avLst/>
                          </a:prstGeom>
                        </pic:spPr>
                      </pic:pic>
                    </a:graphicData>
                  </a:graphic>
                </wp:inline>
              </w:drawing>
            </w:r>
          </w:p>
          <w:p w14:paraId="76818548">
            <w:pPr>
              <w:spacing w:after="0"/>
              <w:jc w:val="center"/>
            </w:pPr>
            <w:r>
              <w:rPr>
                <w:i/>
                <w:iCs/>
                <w:color w:val="7F7F7F"/>
                <w:sz w:val="16"/>
                <w:szCs w:val="16"/>
              </w:rPr>
              <w:t>图4b：改期弹窗——当前时段 11:00-13:00，新时段仍可选中同一时段</w:t>
            </w:r>
          </w:p>
        </w:tc>
      </w:tr>
    </w:tbl>
    <w:p w14:paraId="1493EC02">
      <w:pPr>
        <w:pStyle w:val="3"/>
        <w:spacing w:before="320" w:after="120"/>
      </w:pPr>
      <w:r>
        <w:rPr>
          <w:b/>
          <w:bCs/>
          <w:color w:val="1F3B57"/>
        </w:rPr>
        <w:t xml:space="preserve">5. 客服后台与 WhatsApp 未收到订单及改期通知  </w:t>
      </w:r>
      <w:r>
        <w:rPr>
          <w:b/>
          <w:bCs/>
          <w:color w:val="FFFFFF"/>
          <w:sz w:val="18"/>
          <w:szCs w:val="18"/>
          <w:shd w:val="clear" w:fill="C0392B"/>
        </w:rPr>
        <w:t xml:space="preserve"> P0 </w:t>
      </w:r>
    </w:p>
    <w:tbl>
      <w:tblPr>
        <w:tblStyle w:val="11"/>
        <w:tblW w:w="9638" w:type="dxa"/>
        <w:tblInd w:w="0" w:type="dxa"/>
        <w:tblBorders>
          <w:top w:val="single" w:color="D9D9D9" w:sz="4" w:space="0"/>
          <w:left w:val="single" w:color="D9D9D9" w:sz="4" w:space="0"/>
          <w:bottom w:val="single" w:color="D9D9D9" w:sz="4" w:space="0"/>
          <w:right w:val="single" w:color="D9D9D9" w:sz="4" w:space="0"/>
          <w:insideH w:val="none" w:color="auto" w:sz="0" w:space="0"/>
          <w:insideV w:val="single" w:color="D9D9D9" w:sz="4" w:space="0"/>
        </w:tblBorders>
        <w:tblLayout w:type="autofit"/>
        <w:tblCellMar>
          <w:top w:w="0" w:type="dxa"/>
          <w:left w:w="10" w:type="dxa"/>
          <w:bottom w:w="0" w:type="dxa"/>
          <w:right w:w="10" w:type="dxa"/>
        </w:tblCellMar>
      </w:tblPr>
      <w:tblGrid>
        <w:gridCol w:w="6300"/>
        <w:gridCol w:w="3338"/>
      </w:tblGrid>
      <w:tr w14:paraId="143E3A37">
        <w:tc>
          <w:tcPr>
            <w:tcW w:w="6300" w:type="dxa"/>
            <w:tcMar>
              <w:top w:w="140" w:type="dxa"/>
              <w:left w:w="160" w:type="dxa"/>
              <w:bottom w:w="140" w:type="dxa"/>
              <w:right w:w="160" w:type="dxa"/>
            </w:tcMar>
          </w:tcPr>
          <w:p w14:paraId="13FE3FBD">
            <w:pPr>
              <w:spacing w:after="80"/>
            </w:pPr>
            <w:r>
              <w:rPr>
                <w:b/>
                <w:bCs/>
                <w:color w:val="1F3B57"/>
              </w:rPr>
              <w:t>责任范围：</w:t>
            </w:r>
            <w:r>
              <w:t>后端</w:t>
            </w:r>
          </w:p>
          <w:p w14:paraId="01AAC4E6">
            <w:pPr>
              <w:spacing w:after="80"/>
            </w:pPr>
            <w:r>
              <w:rPr>
                <w:b/>
                <w:bCs/>
                <w:color w:val="1F3B57"/>
              </w:rPr>
              <w:t>现状：</w:t>
            </w:r>
            <w:r>
              <w:t>客户下单、支付成功或提交改期申请后，客服后台系统与 WhatsApp 未能及时收到对应的订单/变更通知，客服人员不清楚是否需要不停手动刷新页面才能看到最新订单。</w:t>
            </w:r>
          </w:p>
          <w:p w14:paraId="0DAB91DC">
            <w:pPr>
              <w:spacing w:after="40"/>
            </w:pPr>
            <w:r>
              <w:rPr>
                <w:b/>
                <w:bCs/>
                <w:color w:val="1F3B57"/>
              </w:rPr>
              <w:t>修改要求：</w:t>
            </w:r>
          </w:p>
          <w:p w14:paraId="51D92063">
            <w:pPr>
              <w:pStyle w:val="16"/>
              <w:numPr>
                <w:ilvl w:val="0"/>
                <w:numId w:val="1"/>
              </w:numPr>
              <w:spacing w:after="60"/>
            </w:pPr>
            <w:r>
              <w:t>排查订单创建、支付成功、改期、取消等关键事件是否正确触发了客服后台的通知/消息队列。</w:t>
            </w:r>
          </w:p>
          <w:p w14:paraId="2B93383E">
            <w:pPr>
              <w:pStyle w:val="16"/>
              <w:numPr>
                <w:ilvl w:val="0"/>
                <w:numId w:val="1"/>
              </w:numPr>
              <w:spacing w:after="60"/>
            </w:pPr>
            <w:r>
              <w:t>排查 WhatsApp 通知（Business API 或第三方集成）的触发条件、发送状态与失败重试机制，确认是否存在触发但发送失败的情况。</w:t>
            </w:r>
          </w:p>
          <w:p w14:paraId="678D4D1D">
            <w:pPr>
              <w:pStyle w:val="16"/>
              <w:numPr>
                <w:ilvl w:val="0"/>
                <w:numId w:val="1"/>
              </w:numPr>
              <w:spacing w:after="60"/>
            </w:pPr>
            <w:r>
              <w:t>客服后台应支持实时或准实时刷新（如 WebSocket/轮询），并明确告知客服人员是否需要手动刷新；如需手动刷新应在界面提示。</w:t>
            </w:r>
          </w:p>
          <w:p w14:paraId="2805021D">
            <w:pPr>
              <w:pStyle w:val="16"/>
              <w:numPr>
                <w:ilvl w:val="0"/>
                <w:numId w:val="1"/>
              </w:numPr>
              <w:spacing w:after="60"/>
            </w:pPr>
            <w:r>
              <w:t>为关键通知增加发送日志和失败告警，便于排查漏发问题。</w:t>
            </w:r>
          </w:p>
          <w:p w14:paraId="627C228E">
            <w:pPr>
              <w:spacing w:before="80"/>
            </w:pPr>
            <w:r>
              <w:rPr>
                <w:b/>
                <w:bCs/>
                <w:color w:val="1F3B57"/>
              </w:rPr>
              <w:t>验收标准：</w:t>
            </w:r>
            <w:r>
              <w:t>测试订单在创建、支付、改期、取消等节点，客服后台与 WhatsApp 均能收到对应通知，无需依赖客服反复手动刷新页面确认新订单。</w:t>
            </w:r>
          </w:p>
        </w:tc>
        <w:tc>
          <w:tcPr>
            <w:tcW w:w="3338" w:type="dxa"/>
            <w:shd w:val="clear" w:color="auto" w:fill="FAFAFA"/>
            <w:tcMar>
              <w:top w:w="120" w:type="dxa"/>
              <w:left w:w="120" w:type="dxa"/>
              <w:bottom w:w="120" w:type="dxa"/>
              <w:right w:w="120" w:type="dxa"/>
            </w:tcMar>
            <w:vAlign w:val="center"/>
          </w:tcPr>
          <w:p w14:paraId="2DD97B95">
            <w:pPr>
              <w:spacing w:before="260" w:after="260"/>
              <w:jc w:val="center"/>
            </w:pPr>
            <w:r>
              <w:rPr>
                <w:b/>
                <w:bCs/>
                <w:color w:val="7F7F7F"/>
                <w:sz w:val="20"/>
                <w:szCs w:val="20"/>
              </w:rPr>
              <w:t>无对应截图</w:t>
            </w:r>
          </w:p>
          <w:p w14:paraId="3F4D3467">
            <w:pPr>
              <w:jc w:val="center"/>
            </w:pPr>
            <w:r>
              <w:rPr>
                <w:i/>
                <w:iCs/>
                <w:color w:val="7F7F7F"/>
                <w:sz w:val="16"/>
                <w:szCs w:val="16"/>
              </w:rPr>
              <w:t>（暂无客服后台/WhatsApp 端截图，问题基于客服反馈整理）</w:t>
            </w:r>
          </w:p>
        </w:tc>
      </w:tr>
    </w:tbl>
    <w:p w14:paraId="5A0CDBF4">
      <w:pPr>
        <w:pStyle w:val="3"/>
        <w:spacing w:before="320" w:after="120"/>
      </w:pPr>
      <w:r>
        <w:rPr>
          <w:b/>
          <w:bCs/>
          <w:color w:val="1F3B57"/>
        </w:rPr>
        <w:t xml:space="preserve">6. 订单状态变为“Team assigned”后前端未同步高亮  </w:t>
      </w:r>
      <w:r>
        <w:rPr>
          <w:b/>
          <w:bCs/>
          <w:color w:val="FFFFFF"/>
          <w:sz w:val="18"/>
          <w:szCs w:val="18"/>
          <w:shd w:val="clear" w:fill="C87F0A"/>
        </w:rPr>
        <w:t xml:space="preserve"> P1 </w:t>
      </w:r>
    </w:p>
    <w:tbl>
      <w:tblPr>
        <w:tblStyle w:val="11"/>
        <w:tblW w:w="9638" w:type="dxa"/>
        <w:tblInd w:w="0" w:type="dxa"/>
        <w:tblBorders>
          <w:top w:val="single" w:color="D9D9D9" w:sz="4" w:space="0"/>
          <w:left w:val="single" w:color="D9D9D9" w:sz="4" w:space="0"/>
          <w:bottom w:val="single" w:color="D9D9D9" w:sz="4" w:space="0"/>
          <w:right w:val="single" w:color="D9D9D9" w:sz="4" w:space="0"/>
          <w:insideH w:val="none" w:color="auto" w:sz="0" w:space="0"/>
          <w:insideV w:val="single" w:color="D9D9D9" w:sz="4" w:space="0"/>
        </w:tblBorders>
        <w:tblLayout w:type="autofit"/>
        <w:tblCellMar>
          <w:top w:w="0" w:type="dxa"/>
          <w:left w:w="10" w:type="dxa"/>
          <w:bottom w:w="0" w:type="dxa"/>
          <w:right w:w="10" w:type="dxa"/>
        </w:tblCellMar>
      </w:tblPr>
      <w:tblGrid>
        <w:gridCol w:w="6248"/>
        <w:gridCol w:w="3390"/>
      </w:tblGrid>
      <w:tr w14:paraId="7465F4DE">
        <w:tc>
          <w:tcPr>
            <w:tcW w:w="6300" w:type="dxa"/>
            <w:tcMar>
              <w:top w:w="140" w:type="dxa"/>
              <w:left w:w="160" w:type="dxa"/>
              <w:bottom w:w="140" w:type="dxa"/>
              <w:right w:w="160" w:type="dxa"/>
            </w:tcMar>
          </w:tcPr>
          <w:p w14:paraId="39FDEF3D">
            <w:pPr>
              <w:spacing w:after="80"/>
            </w:pPr>
            <w:r>
              <w:rPr>
                <w:b/>
                <w:bCs/>
                <w:color w:val="1F3B57"/>
              </w:rPr>
              <w:t>责任范围：</w:t>
            </w:r>
            <w:r>
              <w:t>前端 + 后端</w:t>
            </w:r>
          </w:p>
          <w:p w14:paraId="0070F5E1">
            <w:pPr>
              <w:spacing w:after="80"/>
            </w:pPr>
            <w:r>
              <w:rPr>
                <w:b/>
                <w:bCs/>
                <w:color w:val="1F3B57"/>
              </w:rPr>
              <w:t>现状：</w:t>
            </w:r>
            <w:r>
              <w:t>Booking Details 页面的状态进度条包含“Booking confirmed / Team assigned / Service completed”三步。后台已将订单状态更新为“已派单/Team assigned”，但客户端页面的进度条第二步仍未变为高亮（蓝色）激活状态，客户无法感知实际进度。</w:t>
            </w:r>
          </w:p>
          <w:p w14:paraId="28D5AA65">
            <w:pPr>
              <w:spacing w:after="40"/>
            </w:pPr>
            <w:r>
              <w:rPr>
                <w:b/>
                <w:bCs/>
                <w:color w:val="1F3B57"/>
              </w:rPr>
              <w:t>修改要求：</w:t>
            </w:r>
          </w:p>
          <w:p w14:paraId="5AB2E8C3">
            <w:pPr>
              <w:pStyle w:val="16"/>
              <w:numPr>
                <w:ilvl w:val="0"/>
                <w:numId w:val="1"/>
              </w:numPr>
              <w:spacing w:after="60"/>
            </w:pPr>
            <w:r>
              <w:t>确认状态更新后前端是否正确拉取/订阅了最新订单状态（检查接口轮询、缓存或推送是否生效）。</w:t>
            </w:r>
          </w:p>
          <w:p w14:paraId="4835BBFF">
            <w:pPr>
              <w:pStyle w:val="16"/>
              <w:numPr>
                <w:ilvl w:val="0"/>
                <w:numId w:val="1"/>
              </w:numPr>
              <w:spacing w:after="60"/>
            </w:pPr>
            <w:r>
              <w:t>进度条组件应根据后端返回的实际状态字段渲染当前步骤的高亮样式，不使用本地缓存的旧状态。</w:t>
            </w:r>
          </w:p>
          <w:p w14:paraId="67D83BBD">
            <w:pPr>
              <w:pStyle w:val="16"/>
              <w:numPr>
                <w:ilvl w:val="0"/>
                <w:numId w:val="1"/>
              </w:numPr>
              <w:spacing w:after="60"/>
            </w:pPr>
            <w:r>
              <w:t>补充自动化用例，覆盖状态从 Confirmed → Team assigned → Completed 的完整流转，确保前端每一步都能正确高亮。</w:t>
            </w:r>
          </w:p>
          <w:p w14:paraId="24169304">
            <w:pPr>
              <w:spacing w:before="80"/>
            </w:pPr>
            <w:r>
              <w:rPr>
                <w:b/>
                <w:bCs/>
                <w:color w:val="1F3B57"/>
              </w:rPr>
              <w:t>验收标准：</w:t>
            </w:r>
            <w:r>
              <w:t>后台将订单状态更新为“Team assigned”后，客户端页面进度条实时（或在下次刷新/进入页面时）正确显示第二步高亮。</w:t>
            </w:r>
          </w:p>
        </w:tc>
        <w:tc>
          <w:tcPr>
            <w:tcW w:w="3338" w:type="dxa"/>
            <w:shd w:val="clear" w:color="auto" w:fill="FAFAFA"/>
            <w:tcMar>
              <w:top w:w="120" w:type="dxa"/>
              <w:left w:w="120" w:type="dxa"/>
              <w:bottom w:w="120" w:type="dxa"/>
              <w:right w:w="120" w:type="dxa"/>
            </w:tcMar>
            <w:vAlign w:val="center"/>
          </w:tcPr>
          <w:p w14:paraId="55633F80">
            <w:pPr>
              <w:spacing w:before="0" w:after="40"/>
              <w:jc w:val="center"/>
            </w:pPr>
            <w:r>
              <w:drawing>
                <wp:inline distT="0" distB="0" distL="0" distR="0">
                  <wp:extent cx="2000250" cy="43243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8"/>
                          <a:srcRect/>
                          <a:stretch>
                            <a:fillRect/>
                          </a:stretch>
                        </pic:blipFill>
                        <pic:spPr>
                          <a:xfrm>
                            <a:off x="0" y="0"/>
                            <a:ext cx="2000250" cy="4324350"/>
                          </a:xfrm>
                          <a:prstGeom prst="rect">
                            <a:avLst/>
                          </a:prstGeom>
                        </pic:spPr>
                      </pic:pic>
                    </a:graphicData>
                  </a:graphic>
                </wp:inline>
              </w:drawing>
            </w:r>
          </w:p>
          <w:p w14:paraId="21084A91">
            <w:pPr>
              <w:spacing w:after="0"/>
              <w:jc w:val="center"/>
            </w:pPr>
            <w:r>
              <w:rPr>
                <w:i/>
                <w:iCs/>
                <w:color w:val="7F7F7F"/>
                <w:sz w:val="16"/>
                <w:szCs w:val="16"/>
              </w:rPr>
              <w:t>图6：Booking Details 状态进度条——“Team assigned”未高亮</w:t>
            </w:r>
          </w:p>
        </w:tc>
      </w:tr>
    </w:tbl>
    <w:p w14:paraId="69BEE5E9">
      <w:pPr>
        <w:pStyle w:val="3"/>
        <w:spacing w:before="320" w:after="120"/>
      </w:pPr>
      <w:r>
        <w:rPr>
          <w:b/>
          <w:bCs/>
          <w:color w:val="1F3B57"/>
        </w:rPr>
        <w:t xml:space="preserve">7. 购物车页面缺少“继续添加服务”入口  </w:t>
      </w:r>
      <w:r>
        <w:rPr>
          <w:b/>
          <w:bCs/>
          <w:color w:val="FFFFFF"/>
          <w:sz w:val="18"/>
          <w:szCs w:val="18"/>
          <w:shd w:val="clear" w:fill="7F7F7F"/>
        </w:rPr>
        <w:t xml:space="preserve"> P2 </w:t>
      </w:r>
    </w:p>
    <w:tbl>
      <w:tblPr>
        <w:tblStyle w:val="11"/>
        <w:tblW w:w="9638" w:type="dxa"/>
        <w:tblInd w:w="0" w:type="dxa"/>
        <w:tblBorders>
          <w:top w:val="single" w:color="D9D9D9" w:sz="4" w:space="0"/>
          <w:left w:val="single" w:color="D9D9D9" w:sz="4" w:space="0"/>
          <w:bottom w:val="single" w:color="D9D9D9" w:sz="4" w:space="0"/>
          <w:right w:val="single" w:color="D9D9D9" w:sz="4" w:space="0"/>
          <w:insideH w:val="none" w:color="auto" w:sz="0" w:space="0"/>
          <w:insideV w:val="single" w:color="D9D9D9" w:sz="4" w:space="0"/>
        </w:tblBorders>
        <w:tblLayout w:type="autofit"/>
        <w:tblCellMar>
          <w:top w:w="0" w:type="dxa"/>
          <w:left w:w="10" w:type="dxa"/>
          <w:bottom w:w="0" w:type="dxa"/>
          <w:right w:w="10" w:type="dxa"/>
        </w:tblCellMar>
      </w:tblPr>
      <w:tblGrid>
        <w:gridCol w:w="6300"/>
        <w:gridCol w:w="3338"/>
      </w:tblGrid>
      <w:tr w14:paraId="7CE53F2F">
        <w:tc>
          <w:tcPr>
            <w:tcW w:w="6300" w:type="dxa"/>
            <w:tcMar>
              <w:top w:w="140" w:type="dxa"/>
              <w:left w:w="160" w:type="dxa"/>
              <w:bottom w:w="140" w:type="dxa"/>
              <w:right w:w="160" w:type="dxa"/>
            </w:tcMar>
          </w:tcPr>
          <w:p w14:paraId="712DAA0D">
            <w:pPr>
              <w:spacing w:after="80"/>
            </w:pPr>
            <w:r>
              <w:rPr>
                <w:b/>
                <w:bCs/>
                <w:color w:val="1F3B57"/>
              </w:rPr>
              <w:t>责任范围：</w:t>
            </w:r>
            <w:r>
              <w:t>前端</w:t>
            </w:r>
          </w:p>
          <w:p w14:paraId="46DD408D">
            <w:pPr>
              <w:spacing w:after="80"/>
            </w:pPr>
            <w:r>
              <w:rPr>
                <w:b/>
                <w:bCs/>
                <w:color w:val="1F3B57"/>
              </w:rPr>
              <w:t>现状：</w:t>
            </w:r>
            <w:r>
              <w:t>购物车/结算页面目前只能查看已选服务并直接结算，缺少一个明显的“继续添加/加购其他服务”入口，用户如需追加服务需要退出重新搜索。</w:t>
            </w:r>
          </w:p>
          <w:p w14:paraId="6F94E3D5">
            <w:pPr>
              <w:spacing w:after="40"/>
            </w:pPr>
            <w:r>
              <w:rPr>
                <w:b/>
                <w:bCs/>
                <w:color w:val="1F3B57"/>
              </w:rPr>
              <w:t>修改要求：</w:t>
            </w:r>
          </w:p>
          <w:p w14:paraId="6A5F8D35">
            <w:pPr>
              <w:pStyle w:val="16"/>
              <w:numPr>
                <w:ilvl w:val="0"/>
                <w:numId w:val="1"/>
              </w:numPr>
              <w:spacing w:after="60"/>
            </w:pPr>
            <w:r>
              <w:t>在购物车页面增加“Add more services”按钮或入口，点击后返回服务列表，同时保留已选购物车内容。</w:t>
            </w:r>
          </w:p>
          <w:p w14:paraId="218CBD8B">
            <w:pPr>
              <w:pStyle w:val="16"/>
              <w:numPr>
                <w:ilvl w:val="0"/>
                <w:numId w:val="1"/>
              </w:numPr>
              <w:spacing w:after="60"/>
            </w:pPr>
            <w:r>
              <w:t>该入口位置建议靠近购物车顶部或底部结算区域，符合常见电商/服务类 App 的交互习惯。</w:t>
            </w:r>
          </w:p>
          <w:p w14:paraId="390C8ACD">
            <w:pPr>
              <w:spacing w:before="80"/>
            </w:pPr>
            <w:r>
              <w:rPr>
                <w:b/>
                <w:bCs/>
                <w:color w:val="1F3B57"/>
              </w:rPr>
              <w:t>验收标准：</w:t>
            </w:r>
            <w:r>
              <w:t>用户可在购物车页面一键返回服务列表继续加购，已选服务不会因返回而丢失。</w:t>
            </w:r>
          </w:p>
        </w:tc>
        <w:tc>
          <w:tcPr>
            <w:tcW w:w="3338" w:type="dxa"/>
            <w:shd w:val="clear" w:color="auto" w:fill="FAFAFA"/>
            <w:tcMar>
              <w:top w:w="120" w:type="dxa"/>
              <w:left w:w="120" w:type="dxa"/>
              <w:bottom w:w="120" w:type="dxa"/>
              <w:right w:w="120" w:type="dxa"/>
            </w:tcMar>
            <w:vAlign w:val="center"/>
          </w:tcPr>
          <w:p w14:paraId="3B064E92">
            <w:pPr>
              <w:spacing w:before="260" w:after="260"/>
              <w:jc w:val="center"/>
            </w:pPr>
            <w:r>
              <w:rPr>
                <w:b/>
                <w:bCs/>
                <w:color w:val="7F7F7F"/>
                <w:sz w:val="20"/>
                <w:szCs w:val="20"/>
              </w:rPr>
              <w:t>无对应截图</w:t>
            </w:r>
          </w:p>
          <w:p w14:paraId="590107E6">
            <w:pPr>
              <w:jc w:val="center"/>
            </w:pPr>
            <w:r>
              <w:rPr>
                <w:i/>
                <w:iCs/>
                <w:color w:val="7F7F7F"/>
                <w:sz w:val="16"/>
                <w:szCs w:val="16"/>
              </w:rPr>
              <w:t>（暂无购物车页面截图，问题为文字需求描述）</w:t>
            </w:r>
          </w:p>
        </w:tc>
      </w:tr>
    </w:tbl>
    <w:p w14:paraId="605EB476">
      <w:pPr>
        <w:pStyle w:val="3"/>
        <w:spacing w:before="320" w:after="120"/>
      </w:pPr>
      <w:r>
        <w:rPr>
          <w:b/>
          <w:bCs/>
          <w:color w:val="1F3B57"/>
        </w:rPr>
        <w:t xml:space="preserve">8. 已保存的银行卡信息未能持久化  </w:t>
      </w:r>
      <w:r>
        <w:rPr>
          <w:b/>
          <w:bCs/>
          <w:color w:val="FFFFFF"/>
          <w:sz w:val="18"/>
          <w:szCs w:val="18"/>
          <w:shd w:val="clear" w:fill="C87F0A"/>
        </w:rPr>
        <w:t xml:space="preserve"> P1 </w:t>
      </w:r>
    </w:p>
    <w:tbl>
      <w:tblPr>
        <w:tblStyle w:val="11"/>
        <w:tblW w:w="9638" w:type="dxa"/>
        <w:tblInd w:w="0" w:type="dxa"/>
        <w:tblBorders>
          <w:top w:val="single" w:color="D9D9D9" w:sz="4" w:space="0"/>
          <w:left w:val="single" w:color="D9D9D9" w:sz="4" w:space="0"/>
          <w:bottom w:val="single" w:color="D9D9D9" w:sz="4" w:space="0"/>
          <w:right w:val="single" w:color="D9D9D9" w:sz="4" w:space="0"/>
          <w:insideH w:val="none" w:color="auto" w:sz="0" w:space="0"/>
          <w:insideV w:val="single" w:color="D9D9D9" w:sz="4" w:space="0"/>
        </w:tblBorders>
        <w:tblLayout w:type="autofit"/>
        <w:tblCellMar>
          <w:top w:w="0" w:type="dxa"/>
          <w:left w:w="10" w:type="dxa"/>
          <w:bottom w:w="0" w:type="dxa"/>
          <w:right w:w="10" w:type="dxa"/>
        </w:tblCellMar>
      </w:tblPr>
      <w:tblGrid>
        <w:gridCol w:w="6300"/>
        <w:gridCol w:w="3338"/>
      </w:tblGrid>
      <w:tr w14:paraId="02948F3E">
        <w:tc>
          <w:tcPr>
            <w:tcW w:w="6300" w:type="dxa"/>
            <w:tcMar>
              <w:top w:w="140" w:type="dxa"/>
              <w:left w:w="160" w:type="dxa"/>
              <w:bottom w:w="140" w:type="dxa"/>
              <w:right w:w="160" w:type="dxa"/>
            </w:tcMar>
          </w:tcPr>
          <w:p w14:paraId="7797C79D">
            <w:pPr>
              <w:spacing w:after="80"/>
            </w:pPr>
            <w:r>
              <w:rPr>
                <w:b/>
                <w:bCs/>
                <w:color w:val="1F3B57"/>
              </w:rPr>
              <w:t>责任范围：</w:t>
            </w:r>
            <w:r>
              <w:t>前端 + 后端 / 支付</w:t>
            </w:r>
          </w:p>
          <w:p w14:paraId="3BDDBFFB">
            <w:pPr>
              <w:spacing w:after="80"/>
            </w:pPr>
            <w:r>
              <w:rPr>
                <w:b/>
                <w:bCs/>
                <w:color w:val="1F3B57"/>
              </w:rPr>
              <w:t>现状：</w:t>
            </w:r>
            <w:r>
              <w:t>用户在支付时保存的银行卡信息，下次进入支付页面时未能读取到，需要重新输入卡信息。</w:t>
            </w:r>
          </w:p>
          <w:p w14:paraId="50F269F1">
            <w:pPr>
              <w:spacing w:after="40"/>
            </w:pPr>
            <w:r>
              <w:rPr>
                <w:b/>
                <w:bCs/>
                <w:color w:val="1F3B57"/>
              </w:rPr>
              <w:t>修改要求：</w:t>
            </w:r>
          </w:p>
          <w:p w14:paraId="1114891C">
            <w:pPr>
              <w:pStyle w:val="16"/>
              <w:numPr>
                <w:ilvl w:val="0"/>
                <w:numId w:val="1"/>
              </w:numPr>
              <w:spacing w:after="60"/>
            </w:pPr>
            <w:r>
              <w:t>排查支付渠道（Stripe）Saved Payment Methods 的保存与读取逻辑，确认前端是否正确调用了获取已保存卡列表的接口。</w:t>
            </w:r>
          </w:p>
          <w:p w14:paraId="5A3E58BB">
            <w:pPr>
              <w:pStyle w:val="16"/>
              <w:numPr>
                <w:ilvl w:val="0"/>
                <w:numId w:val="1"/>
              </w:numPr>
              <w:spacing w:after="60"/>
            </w:pPr>
            <w:r>
              <w:t>确认用户身份（登录态/客户 ID）与 Stripe Customer 对象是否正确关联，避免因账号识别问题导致读取不到已保存卡。</w:t>
            </w:r>
          </w:p>
          <w:p w14:paraId="30AADE16">
            <w:pPr>
              <w:pStyle w:val="16"/>
              <w:numPr>
                <w:ilvl w:val="0"/>
                <w:numId w:val="1"/>
              </w:numPr>
              <w:spacing w:after="60"/>
            </w:pPr>
            <w:r>
              <w:t>明确卡信息保存需用户主动勾选“保存卡片”后才生效，并在界面上给出保存成功/失败的反馈。</w:t>
            </w:r>
          </w:p>
          <w:p w14:paraId="1B9EB544">
            <w:pPr>
              <w:spacing w:before="80"/>
            </w:pPr>
            <w:r>
              <w:rPr>
                <w:b/>
                <w:bCs/>
                <w:color w:val="1F3B57"/>
              </w:rPr>
              <w:t>验收标准：</w:t>
            </w:r>
            <w:r>
              <w:t>用户勾选保存卡片并完成支付后，下次下单进入支付页面可看到并选择已保存的卡片，无需重新输入。</w:t>
            </w:r>
          </w:p>
        </w:tc>
        <w:tc>
          <w:tcPr>
            <w:tcW w:w="3338" w:type="dxa"/>
            <w:shd w:val="clear" w:color="auto" w:fill="FAFAFA"/>
            <w:tcMar>
              <w:top w:w="120" w:type="dxa"/>
              <w:left w:w="120" w:type="dxa"/>
              <w:bottom w:w="120" w:type="dxa"/>
              <w:right w:w="120" w:type="dxa"/>
            </w:tcMar>
            <w:vAlign w:val="center"/>
          </w:tcPr>
          <w:p w14:paraId="69A0ED84">
            <w:pPr>
              <w:spacing w:before="260" w:after="260"/>
              <w:jc w:val="center"/>
            </w:pPr>
            <w:r>
              <w:rPr>
                <w:b/>
                <w:bCs/>
                <w:color w:val="7F7F7F"/>
                <w:sz w:val="20"/>
                <w:szCs w:val="20"/>
              </w:rPr>
              <w:t>无对应截图</w:t>
            </w:r>
          </w:p>
          <w:p w14:paraId="5069461C">
            <w:pPr>
              <w:jc w:val="center"/>
            </w:pPr>
            <w:r>
              <w:rPr>
                <w:i/>
                <w:iCs/>
                <w:color w:val="7F7F7F"/>
                <w:sz w:val="16"/>
                <w:szCs w:val="16"/>
              </w:rPr>
              <w:t>（暂无支付页面截图，问题为文字需求描述）</w:t>
            </w:r>
          </w:p>
        </w:tc>
      </w:tr>
    </w:tbl>
    <w:p w14:paraId="5A8A456F">
      <w:pPr>
        <w:pStyle w:val="3"/>
        <w:spacing w:before="320" w:after="120"/>
      </w:pPr>
      <w:r>
        <w:rPr>
          <w:b/>
          <w:bCs/>
          <w:color w:val="1F3B57"/>
        </w:rPr>
        <w:t xml:space="preserve">9. Booking Note（客户备注）与 Remark（客服内部备注）字段混用  </w:t>
      </w:r>
      <w:r>
        <w:rPr>
          <w:b/>
          <w:bCs/>
          <w:color w:val="FFFFFF"/>
          <w:sz w:val="18"/>
          <w:szCs w:val="18"/>
          <w:shd w:val="clear" w:fill="C87F0A"/>
        </w:rPr>
        <w:t xml:space="preserve"> P1 </w:t>
      </w:r>
    </w:p>
    <w:tbl>
      <w:tblPr>
        <w:tblStyle w:val="11"/>
        <w:tblW w:w="9638" w:type="dxa"/>
        <w:tblInd w:w="0" w:type="dxa"/>
        <w:tblBorders>
          <w:top w:val="single" w:color="D9D9D9" w:sz="4" w:space="0"/>
          <w:left w:val="single" w:color="D9D9D9" w:sz="4" w:space="0"/>
          <w:bottom w:val="single" w:color="D9D9D9" w:sz="4" w:space="0"/>
          <w:right w:val="single" w:color="D9D9D9" w:sz="4" w:space="0"/>
          <w:insideH w:val="none" w:color="auto" w:sz="0" w:space="0"/>
          <w:insideV w:val="single" w:color="D9D9D9" w:sz="4" w:space="0"/>
        </w:tblBorders>
        <w:tblLayout w:type="autofit"/>
        <w:tblCellMar>
          <w:top w:w="0" w:type="dxa"/>
          <w:left w:w="10" w:type="dxa"/>
          <w:bottom w:w="0" w:type="dxa"/>
          <w:right w:w="10" w:type="dxa"/>
        </w:tblCellMar>
      </w:tblPr>
      <w:tblGrid>
        <w:gridCol w:w="6248"/>
        <w:gridCol w:w="3390"/>
      </w:tblGrid>
      <w:tr w14:paraId="7815EE0E">
        <w:tc>
          <w:tcPr>
            <w:tcW w:w="6300" w:type="dxa"/>
            <w:tcMar>
              <w:top w:w="140" w:type="dxa"/>
              <w:left w:w="160" w:type="dxa"/>
              <w:bottom w:w="140" w:type="dxa"/>
              <w:right w:w="160" w:type="dxa"/>
            </w:tcMar>
          </w:tcPr>
          <w:p w14:paraId="610A8CB3">
            <w:pPr>
              <w:spacing w:after="80"/>
            </w:pPr>
            <w:r>
              <w:rPr>
                <w:b/>
                <w:bCs/>
                <w:color w:val="1F3B57"/>
              </w:rPr>
              <w:t>责任范围：</w:t>
            </w:r>
            <w:r>
              <w:t>前端 + 后端</w:t>
            </w:r>
          </w:p>
          <w:p w14:paraId="38162E12">
            <w:pPr>
              <w:spacing w:after="80"/>
            </w:pPr>
            <w:r>
              <w:rPr>
                <w:b/>
                <w:bCs/>
                <w:color w:val="1F3B57"/>
              </w:rPr>
              <w:t>现状：</w:t>
            </w:r>
            <w:r>
              <w:t>“Booking note”本应是客户在下单时填写的备注信息，但目前该字段在前端确认下单页（Confirm Booking）并未展示，客户无法在下单时看到/填写；同时“Remark”是客服内部使用的备注字段，与“Booking note”被混用，容易造成客户备注和客服内部记录相互覆盖或显示错乱。</w:t>
            </w:r>
          </w:p>
          <w:p w14:paraId="51C68199">
            <w:pPr>
              <w:spacing w:after="40"/>
            </w:pPr>
            <w:r>
              <w:rPr>
                <w:b/>
                <w:bCs/>
                <w:color w:val="1F3B57"/>
              </w:rPr>
              <w:t>修改要求：</w:t>
            </w:r>
          </w:p>
          <w:p w14:paraId="2D74EB42">
            <w:pPr>
              <w:pStyle w:val="16"/>
              <w:numPr>
                <w:ilvl w:val="0"/>
                <w:numId w:val="1"/>
              </w:numPr>
              <w:spacing w:after="60"/>
            </w:pPr>
            <w:r>
              <w:t>明确区分两个字段：Booking Note（客户可见可填写，随订单提交，最终客户在 Confirm Booking 页面应能看到并编辑）与 Remark（仅客服后台可见可填写的内部备注，客户端不展示）。</w:t>
            </w:r>
          </w:p>
          <w:p w14:paraId="1A287C6D">
            <w:pPr>
              <w:pStyle w:val="16"/>
              <w:numPr>
                <w:ilvl w:val="0"/>
                <w:numId w:val="1"/>
              </w:numPr>
              <w:spacing w:after="60"/>
            </w:pPr>
            <w:r>
              <w:t>在 Confirm Booking 页面增加 Booking Note 输入框，并将其数据与后端 Booking Note 字段对应，避免误写入 Remark 字段。</w:t>
            </w:r>
          </w:p>
          <w:p w14:paraId="73256BD2">
            <w:pPr>
              <w:pStyle w:val="16"/>
              <w:numPr>
                <w:ilvl w:val="0"/>
                <w:numId w:val="1"/>
              </w:numPr>
              <w:spacing w:after="60"/>
            </w:pPr>
            <w:r>
              <w:t>客服后台的 Remark 输入区域应与 Booking Note 分开展示，明确标注“内部备注，客户不可见”。</w:t>
            </w:r>
          </w:p>
          <w:p w14:paraId="0098AEA4">
            <w:pPr>
              <w:pStyle w:val="16"/>
              <w:numPr>
                <w:ilvl w:val="0"/>
                <w:numId w:val="1"/>
              </w:numPr>
              <w:spacing w:after="60"/>
            </w:pPr>
            <w:r>
              <w:t>核查历史数据中是否存在两个字段被误用/串写的情况，如有需做数据修复。</w:t>
            </w:r>
          </w:p>
          <w:p w14:paraId="5EB5B540">
            <w:pPr>
              <w:spacing w:before="80"/>
            </w:pPr>
            <w:r>
              <w:rPr>
                <w:b/>
                <w:bCs/>
                <w:color w:val="1F3B57"/>
              </w:rPr>
              <w:t>验收标准：</w:t>
            </w:r>
            <w:r>
              <w:t>客户在 Confirm Booking 页面可看到并填写 Booking Note，该内容随订单保存且客户端可见；客服在后台填写的 Remark 不会展示给客户，两字段互不覆盖。</w:t>
            </w:r>
          </w:p>
        </w:tc>
        <w:tc>
          <w:tcPr>
            <w:tcW w:w="3338" w:type="dxa"/>
            <w:shd w:val="clear" w:color="auto" w:fill="FAFAFA"/>
            <w:tcMar>
              <w:top w:w="120" w:type="dxa"/>
              <w:left w:w="120" w:type="dxa"/>
              <w:bottom w:w="120" w:type="dxa"/>
              <w:right w:w="120" w:type="dxa"/>
            </w:tcMar>
            <w:vAlign w:val="center"/>
          </w:tcPr>
          <w:p w14:paraId="38BFBDCB">
            <w:pPr>
              <w:spacing w:before="0" w:after="40"/>
              <w:jc w:val="center"/>
            </w:pPr>
            <w:r>
              <w:drawing>
                <wp:inline distT="0" distB="0" distL="0" distR="0">
                  <wp:extent cx="2000250" cy="43243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9"/>
                          <a:srcRect/>
                          <a:stretch>
                            <a:fillRect/>
                          </a:stretch>
                        </pic:blipFill>
                        <pic:spPr>
                          <a:xfrm>
                            <a:off x="0" y="0"/>
                            <a:ext cx="2000250" cy="4324350"/>
                          </a:xfrm>
                          <a:prstGeom prst="rect">
                            <a:avLst/>
                          </a:prstGeom>
                        </pic:spPr>
                      </pic:pic>
                    </a:graphicData>
                  </a:graphic>
                </wp:inline>
              </w:drawing>
            </w:r>
          </w:p>
          <w:p w14:paraId="16E6EF29">
            <w:pPr>
              <w:spacing w:after="0"/>
              <w:jc w:val="center"/>
            </w:pPr>
            <w:r>
              <w:rPr>
                <w:i/>
                <w:iCs/>
                <w:color w:val="7F7F7F"/>
                <w:sz w:val="16"/>
                <w:szCs w:val="16"/>
              </w:rPr>
              <w:t>图9：Confirm Booking 页面——当前未展示 Booking Note 字段</w:t>
            </w:r>
          </w:p>
        </w:tc>
      </w:tr>
    </w:tbl>
    <w:p w14:paraId="1D71AE5C">
      <w:pPr>
        <w:pStyle w:val="3"/>
        <w:spacing w:before="320" w:after="120"/>
      </w:pPr>
      <w:r>
        <w:rPr>
          <w:b/>
          <w:bCs/>
          <w:color w:val="1F3B57"/>
        </w:rPr>
        <w:t xml:space="preserve">10. 发票生成功能能否与 Stripe 对接，待确认  </w:t>
      </w:r>
      <w:r>
        <w:rPr>
          <w:b/>
          <w:bCs/>
          <w:color w:val="FFFFFF"/>
          <w:sz w:val="18"/>
          <w:szCs w:val="18"/>
          <w:shd w:val="clear" w:fill="7F7F7F"/>
        </w:rPr>
        <w:t xml:space="preserve"> P2 </w:t>
      </w:r>
    </w:p>
    <w:tbl>
      <w:tblPr>
        <w:tblStyle w:val="11"/>
        <w:tblW w:w="9638" w:type="dxa"/>
        <w:tblInd w:w="0" w:type="dxa"/>
        <w:tblBorders>
          <w:top w:val="single" w:color="D9D9D9" w:sz="4" w:space="0"/>
          <w:left w:val="single" w:color="D9D9D9" w:sz="4" w:space="0"/>
          <w:bottom w:val="single" w:color="D9D9D9" w:sz="4" w:space="0"/>
          <w:right w:val="single" w:color="D9D9D9" w:sz="4" w:space="0"/>
          <w:insideH w:val="none" w:color="auto" w:sz="0" w:space="0"/>
          <w:insideV w:val="single" w:color="D9D9D9" w:sz="4" w:space="0"/>
        </w:tblBorders>
        <w:tblLayout w:type="autofit"/>
        <w:tblCellMar>
          <w:top w:w="0" w:type="dxa"/>
          <w:left w:w="10" w:type="dxa"/>
          <w:bottom w:w="0" w:type="dxa"/>
          <w:right w:w="10" w:type="dxa"/>
        </w:tblCellMar>
      </w:tblPr>
      <w:tblGrid>
        <w:gridCol w:w="6300"/>
        <w:gridCol w:w="3338"/>
      </w:tblGrid>
      <w:tr w14:paraId="07C954B0">
        <w:tc>
          <w:tcPr>
            <w:tcW w:w="6300" w:type="dxa"/>
            <w:tcMar>
              <w:top w:w="140" w:type="dxa"/>
              <w:left w:w="160" w:type="dxa"/>
              <w:bottom w:w="140" w:type="dxa"/>
              <w:right w:w="160" w:type="dxa"/>
            </w:tcMar>
          </w:tcPr>
          <w:p w14:paraId="3C61C6C9">
            <w:pPr>
              <w:spacing w:after="80"/>
            </w:pPr>
            <w:r>
              <w:rPr>
                <w:b/>
                <w:bCs/>
                <w:color w:val="1F3B57"/>
              </w:rPr>
              <w:t>责任范围：</w:t>
            </w:r>
            <w:r>
              <w:t>后端 / 产品</w:t>
            </w:r>
          </w:p>
          <w:p w14:paraId="2F186678">
            <w:pPr>
              <w:spacing w:after="80"/>
            </w:pPr>
            <w:r>
              <w:rPr>
                <w:b/>
                <w:bCs/>
                <w:color w:val="1F3B57"/>
              </w:rPr>
              <w:t>现状：</w:t>
            </w:r>
            <w:r>
              <w:t>目前“generate invoice”（生成发票）功能尚未确认是否可以与 Stripe 的发票/收据能力打通，需要产品与技术共同评估可行性。</w:t>
            </w:r>
          </w:p>
          <w:p w14:paraId="397B9247">
            <w:pPr>
              <w:spacing w:after="40"/>
            </w:pPr>
            <w:r>
              <w:rPr>
                <w:b/>
                <w:bCs/>
                <w:color w:val="1F3B57"/>
              </w:rPr>
              <w:t>修改要求：</w:t>
            </w:r>
          </w:p>
          <w:p w14:paraId="7CE2608F">
            <w:pPr>
              <w:pStyle w:val="16"/>
              <w:numPr>
                <w:ilvl w:val="0"/>
                <w:numId w:val="1"/>
              </w:numPr>
              <w:spacing w:after="60"/>
            </w:pPr>
            <w:r>
              <w:t>评估 Stripe Invoicing 或 Stripe 的收据（Receipt）能力是否满足 HourX 的发票格式与合规要求（含 TRN 税号等信息）。</w:t>
            </w:r>
          </w:p>
          <w:p w14:paraId="3784057E">
            <w:pPr>
              <w:pStyle w:val="16"/>
              <w:numPr>
                <w:ilvl w:val="0"/>
                <w:numId w:val="1"/>
              </w:numPr>
              <w:spacing w:after="60"/>
            </w:pPr>
            <w:r>
              <w:t>如 Stripe 原生能力不满足，评估由后端根据 Stripe 支付成功回执自行生成 PDF 发票的方案。</w:t>
            </w:r>
          </w:p>
          <w:p w14:paraId="38B14BE8">
            <w:pPr>
              <w:pStyle w:val="16"/>
              <w:numPr>
                <w:ilvl w:val="0"/>
                <w:numId w:val="1"/>
              </w:numPr>
              <w:spacing w:after="60"/>
            </w:pPr>
            <w:r>
              <w:t>明确发票的触发时机（支付成功后自动生成 / 客户手动申请）及获取方式（App 内下载、邮件发送）。</w:t>
            </w:r>
          </w:p>
          <w:p w14:paraId="3DBD3680">
            <w:pPr>
              <w:spacing w:before="80"/>
            </w:pPr>
            <w:r>
              <w:rPr>
                <w:b/>
                <w:bCs/>
                <w:color w:val="1F3B57"/>
              </w:rPr>
              <w:t>验收标准：</w:t>
            </w:r>
            <w:r>
              <w:t>产品与技术输出明确结论：是否采用 Stripe 原生发票能力，并给出后续实施方案（如需要）。</w:t>
            </w:r>
          </w:p>
        </w:tc>
        <w:tc>
          <w:tcPr>
            <w:tcW w:w="3338" w:type="dxa"/>
            <w:shd w:val="clear" w:color="auto" w:fill="FAFAFA"/>
            <w:tcMar>
              <w:top w:w="120" w:type="dxa"/>
              <w:left w:w="120" w:type="dxa"/>
              <w:bottom w:w="120" w:type="dxa"/>
              <w:right w:w="120" w:type="dxa"/>
            </w:tcMar>
            <w:vAlign w:val="center"/>
          </w:tcPr>
          <w:p w14:paraId="1CE7832C">
            <w:pPr>
              <w:spacing w:before="260" w:after="260"/>
              <w:jc w:val="center"/>
            </w:pPr>
            <w:r>
              <w:rPr>
                <w:b/>
                <w:bCs/>
                <w:color w:val="7F7F7F"/>
                <w:sz w:val="20"/>
                <w:szCs w:val="20"/>
              </w:rPr>
              <w:t>无对应截图</w:t>
            </w:r>
          </w:p>
          <w:p w14:paraId="3332C0CA">
            <w:pPr>
              <w:jc w:val="center"/>
            </w:pPr>
            <w:r>
              <w:rPr>
                <w:i/>
                <w:iCs/>
                <w:color w:val="7F7F7F"/>
                <w:sz w:val="16"/>
                <w:szCs w:val="16"/>
              </w:rPr>
              <w:t>（暂无相关截图，为产品/技术确认事项）</w:t>
            </w:r>
          </w:p>
        </w:tc>
      </w:tr>
    </w:tbl>
    <w:p w14:paraId="3C3429F8">
      <w:pPr>
        <w:pStyle w:val="3"/>
        <w:spacing w:before="320" w:after="120"/>
      </w:pPr>
      <w:r>
        <w:rPr>
          <w:b/>
          <w:bCs/>
          <w:color w:val="1F3B57"/>
        </w:rPr>
        <w:t xml:space="preserve">11. 地址字段缺少区域定位、房间号、楼栋名称  </w:t>
      </w:r>
      <w:r>
        <w:rPr>
          <w:b/>
          <w:bCs/>
          <w:color w:val="FFFFFF"/>
          <w:sz w:val="18"/>
          <w:szCs w:val="18"/>
          <w:shd w:val="clear" w:fill="C87F0A"/>
        </w:rPr>
        <w:t xml:space="preserve"> P1 </w:t>
      </w:r>
    </w:p>
    <w:tbl>
      <w:tblPr>
        <w:tblStyle w:val="11"/>
        <w:tblW w:w="9638" w:type="dxa"/>
        <w:tblInd w:w="0" w:type="dxa"/>
        <w:tblBorders>
          <w:top w:val="single" w:color="D9D9D9" w:sz="4" w:space="0"/>
          <w:left w:val="single" w:color="D9D9D9" w:sz="4" w:space="0"/>
          <w:bottom w:val="single" w:color="D9D9D9" w:sz="4" w:space="0"/>
          <w:right w:val="single" w:color="D9D9D9" w:sz="4" w:space="0"/>
          <w:insideH w:val="none" w:color="auto" w:sz="0" w:space="0"/>
          <w:insideV w:val="single" w:color="D9D9D9" w:sz="4" w:space="0"/>
        </w:tblBorders>
        <w:tblLayout w:type="autofit"/>
        <w:tblCellMar>
          <w:top w:w="0" w:type="dxa"/>
          <w:left w:w="10" w:type="dxa"/>
          <w:bottom w:w="0" w:type="dxa"/>
          <w:right w:w="10" w:type="dxa"/>
        </w:tblCellMar>
      </w:tblPr>
      <w:tblGrid>
        <w:gridCol w:w="6248"/>
        <w:gridCol w:w="3390"/>
      </w:tblGrid>
      <w:tr w14:paraId="108665F1">
        <w:tc>
          <w:tcPr>
            <w:tcW w:w="6300" w:type="dxa"/>
            <w:tcMar>
              <w:top w:w="140" w:type="dxa"/>
              <w:left w:w="160" w:type="dxa"/>
              <w:bottom w:w="140" w:type="dxa"/>
              <w:right w:w="160" w:type="dxa"/>
            </w:tcMar>
          </w:tcPr>
          <w:p w14:paraId="216282CE">
            <w:pPr>
              <w:spacing w:after="80"/>
            </w:pPr>
            <w:r>
              <w:rPr>
                <w:b/>
                <w:bCs/>
                <w:color w:val="1F3B57"/>
              </w:rPr>
              <w:t>责任范围：</w:t>
            </w:r>
            <w:r>
              <w:t>前端 + 后端</w:t>
            </w:r>
          </w:p>
          <w:p w14:paraId="4B5CE734">
            <w:pPr>
              <w:spacing w:after="80"/>
            </w:pPr>
            <w:r>
              <w:rPr>
                <w:b/>
                <w:bCs/>
                <w:color w:val="1F3B57"/>
              </w:rPr>
              <w:t>现状：</w:t>
            </w:r>
            <w:r>
              <w:t>当前 HourX 地址表单只有 Area/District 和一个整体 Address 文本框，缺少独立的“房间号/门牌号”和“楼栋/小区名称”字段，地址信息不够结构化，容易影响师傅上门定位效率。参考同类 App 的地址表单，通常会将区域定位、门牌/楼层号、楼栋/小区名称拆分为独立字段。</w:t>
            </w:r>
          </w:p>
          <w:p w14:paraId="0D73C7E4">
            <w:pPr>
              <w:spacing w:after="40"/>
            </w:pPr>
            <w:r>
              <w:rPr>
                <w:b/>
                <w:bCs/>
                <w:color w:val="1F3B57"/>
              </w:rPr>
              <w:t>修改要求：</w:t>
            </w:r>
          </w:p>
          <w:p w14:paraId="53503129">
            <w:pPr>
              <w:pStyle w:val="16"/>
              <w:numPr>
                <w:ilvl w:val="0"/>
                <w:numId w:val="1"/>
              </w:numPr>
              <w:spacing w:after="60"/>
            </w:pPr>
            <w:r>
              <w:t>在地址表单中新增“Apt &amp; Floor No. / Villa No.”（房间号/门牌号）为必填字段。</w:t>
            </w:r>
          </w:p>
          <w:p w14:paraId="4B127463">
            <w:pPr>
              <w:pStyle w:val="16"/>
              <w:numPr>
                <w:ilvl w:val="0"/>
                <w:numId w:val="1"/>
              </w:numPr>
              <w:spacing w:after="60"/>
            </w:pPr>
            <w:r>
              <w:t>新增“Building / Cluster Name”（楼栋/小区名称）为必填字段。</w:t>
            </w:r>
          </w:p>
          <w:p w14:paraId="7A8729B7">
            <w:pPr>
              <w:pStyle w:val="16"/>
              <w:numPr>
                <w:ilvl w:val="0"/>
                <w:numId w:val="1"/>
              </w:numPr>
              <w:spacing w:after="60"/>
            </w:pPr>
            <w:r>
              <w:t>保留现有 Area/District 定位选择，并可参考同类 App 增加“Directions to reach（选填）”“地址别名（选填）”等辅助字段，提升地址完整度与师傅上门效率。</w:t>
            </w:r>
          </w:p>
          <w:p w14:paraId="05B3F000">
            <w:pPr>
              <w:pStyle w:val="16"/>
              <w:numPr>
                <w:ilvl w:val="0"/>
                <w:numId w:val="1"/>
              </w:numPr>
              <w:spacing w:after="60"/>
            </w:pPr>
            <w:r>
              <w:t>已有的历史地址数据需要评估迁移方案，引导老用户补全缺失字段。</w:t>
            </w:r>
          </w:p>
          <w:p w14:paraId="51F52285">
            <w:pPr>
              <w:spacing w:before="80"/>
            </w:pPr>
            <w:r>
              <w:rPr>
                <w:b/>
                <w:bCs/>
                <w:color w:val="1F3B57"/>
              </w:rPr>
              <w:t>验收标准：</w:t>
            </w:r>
            <w:r>
              <w:t>新增地址时区域、房间号、楼栋名称均为独立字段且房间号/楼栋名称为必填；地址列表与订单详情能完整展示这些结构化字段。</w:t>
            </w:r>
          </w:p>
        </w:tc>
        <w:tc>
          <w:tcPr>
            <w:tcW w:w="3338" w:type="dxa"/>
            <w:shd w:val="clear" w:color="auto" w:fill="FAFAFA"/>
            <w:tcMar>
              <w:top w:w="120" w:type="dxa"/>
              <w:left w:w="120" w:type="dxa"/>
              <w:bottom w:w="120" w:type="dxa"/>
              <w:right w:w="120" w:type="dxa"/>
            </w:tcMar>
            <w:vAlign w:val="center"/>
          </w:tcPr>
          <w:p w14:paraId="58B8C155">
            <w:pPr>
              <w:spacing w:before="0" w:after="40"/>
              <w:jc w:val="center"/>
            </w:pPr>
            <w:r>
              <w:drawing>
                <wp:inline distT="0" distB="0" distL="0" distR="0">
                  <wp:extent cx="2000250" cy="43243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0"/>
                          <a:srcRect/>
                          <a:stretch>
                            <a:fillRect/>
                          </a:stretch>
                        </pic:blipFill>
                        <pic:spPr>
                          <a:xfrm>
                            <a:off x="0" y="0"/>
                            <a:ext cx="2000250" cy="4324350"/>
                          </a:xfrm>
                          <a:prstGeom prst="rect">
                            <a:avLst/>
                          </a:prstGeom>
                        </pic:spPr>
                      </pic:pic>
                    </a:graphicData>
                  </a:graphic>
                </wp:inline>
              </w:drawing>
            </w:r>
          </w:p>
          <w:p w14:paraId="67993552">
            <w:pPr>
              <w:spacing w:after="0"/>
              <w:jc w:val="center"/>
            </w:pPr>
            <w:r>
              <w:rPr>
                <w:i/>
                <w:iCs/>
                <w:color w:val="7F7F7F"/>
                <w:sz w:val="16"/>
                <w:szCs w:val="16"/>
              </w:rPr>
              <w:t>图11a：HourX 当前地址表单——缺少房间号与楼栋名称独立字段</w:t>
            </w:r>
          </w:p>
          <w:p w14:paraId="41FC32E5">
            <w:pPr>
              <w:spacing w:before="160" w:after="40"/>
              <w:jc w:val="center"/>
            </w:pPr>
            <w:r>
              <w:drawing>
                <wp:inline distT="0" distB="0" distL="0" distR="0">
                  <wp:extent cx="2000250" cy="43243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1"/>
                          <a:srcRect/>
                          <a:stretch>
                            <a:fillRect/>
                          </a:stretch>
                        </pic:blipFill>
                        <pic:spPr>
                          <a:xfrm>
                            <a:off x="0" y="0"/>
                            <a:ext cx="2000250" cy="4324350"/>
                          </a:xfrm>
                          <a:prstGeom prst="rect">
                            <a:avLst/>
                          </a:prstGeom>
                        </pic:spPr>
                      </pic:pic>
                    </a:graphicData>
                  </a:graphic>
                </wp:inline>
              </w:drawing>
            </w:r>
          </w:p>
          <w:p w14:paraId="6481CE69">
            <w:pPr>
              <w:spacing w:after="0"/>
              <w:jc w:val="center"/>
            </w:pPr>
            <w:r>
              <w:rPr>
                <w:i/>
                <w:iCs/>
                <w:color w:val="7F7F7F"/>
                <w:sz w:val="16"/>
                <w:szCs w:val="16"/>
              </w:rPr>
              <w:t>图11b：参考同类 App 地址表单——含 Apt &amp; Floor No. / Building 等独立字段</w:t>
            </w:r>
          </w:p>
          <w:p w14:paraId="2BDBA82A">
            <w:pPr>
              <w:spacing w:before="160" w:after="40"/>
              <w:jc w:val="center"/>
            </w:pPr>
          </w:p>
          <w:p w14:paraId="70A366C5">
            <w:pPr>
              <w:spacing w:after="0"/>
              <w:jc w:val="center"/>
            </w:pPr>
            <w:r>
              <w:rPr>
                <w:i/>
                <w:iCs/>
                <w:color w:val="7F7F7F"/>
                <w:sz w:val="16"/>
                <w:szCs w:val="16"/>
              </w:rPr>
              <w:t>图11c：参考同类 App 已保存地址列表展示效果</w:t>
            </w:r>
          </w:p>
        </w:tc>
      </w:tr>
    </w:tbl>
    <w:p w14:paraId="5239084B"/>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0000000000000000000"/>
    <w:charset w:val="86"/>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FE29A1"/>
    <w:multiLevelType w:val="singleLevel"/>
    <w:tmpl w:val="DBFE29A1"/>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useFELayout/>
    <w:compatSetting w:name="compatibilityMode" w:uri="http://schemas.microsoft.com/office/word" w:val="15"/>
  </w:compat>
  <w:rsids>
    <w:rsidRoot w:val="00000000"/>
    <w:rsid w:val="7CC7014C"/>
    <w:rsid w:val="9F6961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1"/>
      <w:szCs w:val="21"/>
    </w:rPr>
  </w:style>
  <w:style w:type="paragraph" w:styleId="2">
    <w:name w:val="heading 1"/>
    <w:next w:val="1"/>
    <w:qFormat/>
    <w:uiPriority w:val="0"/>
    <w:pPr>
      <w:spacing w:before="300" w:after="150" w:line="300" w:lineRule="auto"/>
    </w:pPr>
    <w:rPr>
      <w:rFonts w:ascii="微软雅黑" w:hAnsi="微软雅黑" w:eastAsia="微软雅黑" w:cs="微软雅黑"/>
      <w:b/>
      <w:bCs/>
      <w:color w:val="1F3B57"/>
      <w:sz w:val="30"/>
      <w:szCs w:val="30"/>
    </w:rPr>
  </w:style>
  <w:style w:type="paragraph" w:styleId="3">
    <w:name w:val="heading 2"/>
    <w:next w:val="1"/>
    <w:qFormat/>
    <w:uiPriority w:val="0"/>
    <w:pPr>
      <w:spacing w:before="260" w:after="100" w:line="300" w:lineRule="auto"/>
    </w:pPr>
    <w:rPr>
      <w:rFonts w:ascii="微软雅黑" w:hAnsi="微软雅黑" w:eastAsia="微软雅黑" w:cs="微软雅黑"/>
      <w:b/>
      <w:bCs/>
      <w:color w:val="1F3B57"/>
      <w:sz w:val="24"/>
      <w:szCs w:val="24"/>
    </w:rPr>
  </w:style>
  <w:style w:type="paragraph" w:styleId="4">
    <w:name w:val="heading 3"/>
    <w:next w:val="1"/>
    <w:qFormat/>
    <w:uiPriority w:val="0"/>
    <w:pPr>
      <w:spacing w:line="300" w:lineRule="auto"/>
    </w:pPr>
    <w:rPr>
      <w:rFonts w:ascii="微软雅黑" w:hAnsi="微软雅黑" w:eastAsia="微软雅黑" w:cs="微软雅黑"/>
      <w:color w:val="1F4D78"/>
      <w:sz w:val="24"/>
      <w:szCs w:val="24"/>
    </w:rPr>
  </w:style>
  <w:style w:type="paragraph" w:styleId="5">
    <w:name w:val="heading 4"/>
    <w:next w:val="1"/>
    <w:qFormat/>
    <w:uiPriority w:val="0"/>
    <w:pPr>
      <w:spacing w:line="300" w:lineRule="auto"/>
    </w:pPr>
    <w:rPr>
      <w:rFonts w:ascii="微软雅黑" w:hAnsi="微软雅黑" w:eastAsia="微软雅黑" w:cs="微软雅黑"/>
      <w:i/>
      <w:iCs/>
      <w:color w:val="2E74B5"/>
      <w:sz w:val="21"/>
      <w:szCs w:val="21"/>
    </w:rPr>
  </w:style>
  <w:style w:type="paragraph" w:styleId="6">
    <w:name w:val="heading 5"/>
    <w:next w:val="1"/>
    <w:qFormat/>
    <w:uiPriority w:val="0"/>
    <w:pPr>
      <w:spacing w:line="300" w:lineRule="auto"/>
    </w:pPr>
    <w:rPr>
      <w:rFonts w:ascii="微软雅黑" w:hAnsi="微软雅黑" w:eastAsia="微软雅黑" w:cs="微软雅黑"/>
      <w:color w:val="2E74B5"/>
      <w:sz w:val="21"/>
      <w:szCs w:val="21"/>
    </w:rPr>
  </w:style>
  <w:style w:type="paragraph" w:styleId="7">
    <w:name w:val="heading 6"/>
    <w:next w:val="1"/>
    <w:qFormat/>
    <w:uiPriority w:val="0"/>
    <w:pPr>
      <w:spacing w:line="300" w:lineRule="auto"/>
    </w:pPr>
    <w:rPr>
      <w:rFonts w:ascii="微软雅黑" w:hAnsi="微软雅黑" w:eastAsia="微软雅黑" w:cs="微软雅黑"/>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微软雅黑" w:hAnsi="微软雅黑" w:eastAsia="微软雅黑" w:cs="微软雅黑"/>
      <w:sz w:val="20"/>
      <w:szCs w:val="20"/>
    </w:rPr>
  </w:style>
  <w:style w:type="paragraph" w:styleId="9">
    <w:name w:val="footnote text"/>
    <w:link w:val="17"/>
    <w:semiHidden/>
    <w:unhideWhenUsed/>
    <w:uiPriority w:val="99"/>
    <w:pPr>
      <w:spacing w:after="0" w:line="240" w:lineRule="auto"/>
    </w:pPr>
    <w:rPr>
      <w:rFonts w:ascii="微软雅黑" w:hAnsi="微软雅黑" w:eastAsia="微软雅黑" w:cs="微软雅黑"/>
      <w:sz w:val="20"/>
      <w:szCs w:val="20"/>
    </w:rPr>
  </w:style>
  <w:style w:type="paragraph" w:styleId="10">
    <w:name w:val="Title"/>
    <w:qFormat/>
    <w:uiPriority w:val="0"/>
    <w:pPr>
      <w:spacing w:line="300" w:lineRule="auto"/>
    </w:pPr>
    <w:rPr>
      <w:rFonts w:ascii="微软雅黑" w:hAnsi="微软雅黑" w:eastAsia="微软雅黑" w:cs="微软雅黑"/>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pPr>
      <w:spacing w:line="300" w:lineRule="auto"/>
    </w:pPr>
    <w:rPr>
      <w:rFonts w:ascii="微软雅黑" w:hAnsi="微软雅黑" w:eastAsia="微软雅黑" w:cs="微软雅黑"/>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7</TotalTime>
  <ScaleCrop>false</ScaleCrop>
  <LinksUpToDate>false</LinksUpToDate>
  <Application>WPS Office_12.1.23153.23153_F1E327BC-269C-435d-A152-05C5408002CA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2026-09-02T13:11:30Z</dcterms:created>
  <dc:creator>Un-named</dc:creator>
  <cp:lastModifiedBy>SofiaCao</cp:lastModifiedBy>
  <dcterms:modified xsi:type="dcterms:W3CDTF">2026-09-02T13:11:36Z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2052-12.1.23153.23153</vt:lpwstr>
  </property>
  <property fmtid="{D5CDD505-2E9C-101B-9397-08002B2CF9AE}" pid="3" name="ICV">
    <vt:lpwstr>483B4BC6D8D6BC9AEDE7976A579A68D4_42</vt:lpwstr>
  </property>
</Properties>
</file>