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6C9F1">
      <w:pPr>
        <w:spacing w:before="200" w:after="40"/>
        <w:jc w:val="center"/>
      </w:pPr>
      <w:r>
        <w:rPr>
          <w:b/>
          <w:bCs/>
          <w:color w:val="1F3B57"/>
          <w:sz w:val="32"/>
          <w:szCs w:val="32"/>
        </w:rPr>
        <w:t>HOURX</w:t>
      </w:r>
    </w:p>
    <w:p w14:paraId="0F4DD8A8">
      <w:pPr>
        <w:spacing w:after="200"/>
        <w:jc w:val="center"/>
      </w:pPr>
      <w:r>
        <w:rPr>
          <w:b/>
          <w:bCs/>
          <w:color w:val="1F3B57"/>
          <w:sz w:val="44"/>
          <w:szCs w:val="44"/>
        </w:rPr>
        <w:t>网站修正与变更需求</w:t>
      </w:r>
    </w:p>
    <w:p w14:paraId="327077AB">
      <w:pPr>
        <w:spacing w:after="300"/>
        <w:jc w:val="center"/>
      </w:pPr>
      <w:r>
        <w:rPr>
          <w:color w:val="7F7F7F"/>
          <w:sz w:val="22"/>
          <w:szCs w:val="22"/>
        </w:rPr>
        <w:t>服务分类文案 · 后台管理系统 · 页脚 · 首页导航</w:t>
      </w:r>
    </w:p>
    <w:tbl>
      <w:tblPr>
        <w:tblStyle w:val="11"/>
        <w:tblW w:w="9638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78D3BE4A"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BD9B">
            <w:r>
              <w:rPr>
                <w:b/>
                <w:bCs/>
                <w:color w:val="1F3B57"/>
              </w:rPr>
              <w:t>文档用途</w:t>
            </w:r>
          </w:p>
        </w:tc>
        <w:tc>
          <w:tcPr>
            <w:tcW w:w="7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8CA3">
            <w:r>
              <w:t>供研发部门评审与实施的网站修正与变更需求（中文版）</w:t>
            </w:r>
          </w:p>
        </w:tc>
      </w:tr>
      <w:tr w14:paraId="4A16FB8B"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37D2">
            <w:r>
              <w:rPr>
                <w:b/>
                <w:bCs/>
                <w:color w:val="1F3B57"/>
              </w:rPr>
              <w:t>原文档</w:t>
            </w:r>
          </w:p>
        </w:tc>
        <w:tc>
          <w:tcPr>
            <w:tcW w:w="7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BFF8">
            <w:r>
              <w:t>Website_Changes.pdf（英文原文，本文档为完整中文翻译）</w:t>
            </w:r>
          </w:p>
        </w:tc>
      </w:tr>
      <w:tr w14:paraId="3BCE6D37"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DD47">
            <w:r>
              <w:rPr>
                <w:b/>
                <w:bCs/>
                <w:color w:val="1F3B57"/>
              </w:rPr>
              <w:t>适用范围</w:t>
            </w:r>
          </w:p>
        </w:tc>
        <w:tc>
          <w:tcPr>
            <w:tcW w:w="7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6B2E">
            <w:r>
              <w:t>服务分类展示、后台管理系统（Admin Console）、网站页脚、首页导航</w:t>
            </w:r>
          </w:p>
        </w:tc>
      </w:tr>
    </w:tbl>
    <w:p w14:paraId="5A26CB05">
      <w:pPr>
        <w:spacing w:before="240"/>
      </w:pPr>
    </w:p>
    <w:tbl>
      <w:tblPr>
        <w:tblStyle w:val="11"/>
        <w:tblW w:w="9638" w:type="dxa"/>
        <w:tblInd w:w="0" w:type="dxa"/>
        <w:tblBorders>
          <w:top w:val="single" w:color="1F3B57" w:sz="6" w:space="0"/>
          <w:left w:val="single" w:color="1F3B57" w:sz="6" w:space="0"/>
          <w:bottom w:val="single" w:color="1F3B57" w:sz="6" w:space="0"/>
          <w:right w:val="single" w:color="1F3B57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4E2AF946">
        <w:tc>
          <w:tcPr>
            <w:tcW w:w="9638" w:type="dxa"/>
            <w:shd w:val="clear" w:color="auto" w:fill="DCEA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8F0767">
            <w:r>
              <w:rPr>
                <w:b/>
                <w:bCs/>
                <w:color w:val="1F3B57"/>
              </w:rPr>
              <w:t>说明：</w:t>
            </w:r>
            <w:r>
              <w:t>本文档为英文原文件的完整中文翻译，条目结构与原文一致，涉及截图均保留在对应位置，供研发部门参考实施。</w:t>
            </w:r>
          </w:p>
        </w:tc>
      </w:tr>
    </w:tbl>
    <w:p w14:paraId="77DDC93F">
      <w:pPr>
        <w:pStyle w:val="2"/>
        <w:pBdr>
          <w:bottom w:val="single" w:color="1F3B57" w:sz="8" w:space="4"/>
        </w:pBdr>
        <w:spacing w:before="380" w:after="160"/>
      </w:pPr>
      <w:r>
        <w:rPr>
          <w:color w:val="1F3B57"/>
        </w:rPr>
        <w:t>1. 编辑服务（Edit Service）</w:t>
      </w:r>
    </w:p>
    <w:p w14:paraId="3357D210">
      <w:pPr>
        <w:spacing w:after="140"/>
      </w:pPr>
      <w:r>
        <w:t>后台已将该服务分类名称更新为“AC Repairs</w:t>
      </w:r>
      <w:r>
        <w:rPr>
          <w:rFonts w:hint="eastAsia"/>
          <w:lang w:val="en-US" w:eastAsia="zh-CN"/>
        </w:rPr>
        <w:t xml:space="preserve"> </w:t>
      </w:r>
      <w:r>
        <w:t>&amp;</w:t>
      </w:r>
      <w:r>
        <w:rPr>
          <w:rFonts w:hint="eastAsia"/>
          <w:lang w:val="en-US" w:eastAsia="zh-CN"/>
        </w:rPr>
        <w:t xml:space="preserve"> </w:t>
      </w:r>
      <w:r>
        <w:t>Maintenance”，间距已修正为正确格式。但前端页面目前仍显示为“AC Repairs&amp;Maintenance”（未同步更新）。请排查为何后台的间距更新未反映到前端，并修复此问题。</w:t>
      </w:r>
    </w:p>
    <w:p w14:paraId="7F803A5F">
      <w:pPr>
        <w:spacing w:before="120" w:after="40"/>
        <w:jc w:val="center"/>
      </w:pPr>
      <w:r>
        <w:drawing>
          <wp:inline distT="0" distB="0" distL="0" distR="0">
            <wp:extent cx="4000500" cy="2209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82A0">
      <w:pPr>
        <w:spacing w:after="200"/>
        <w:jc w:val="center"/>
      </w:pPr>
      <w:r>
        <w:rPr>
          <w:i/>
          <w:iCs/>
          <w:color w:val="7F7F7F"/>
          <w:sz w:val="16"/>
          <w:szCs w:val="16"/>
        </w:rPr>
        <w:t>图1：服务卡片展示效果与“Edit Service Type”后台编辑弹窗</w:t>
      </w:r>
    </w:p>
    <w:p w14:paraId="796ADD33">
      <w:pPr>
        <w:pStyle w:val="2"/>
        <w:pBdr>
          <w:bottom w:val="single" w:color="1F3B57" w:sz="8" w:space="4"/>
        </w:pBdr>
        <w:spacing w:before="380" w:after="160"/>
      </w:pPr>
      <w:r>
        <w:rPr>
          <w:color w:val="1F3B57"/>
        </w:rPr>
        <w:t>2. HourX 后台管理系统（Admin Console）更新需求</w:t>
      </w:r>
    </w:p>
    <w:p w14:paraId="50EEEA4F">
      <w:pPr>
        <w:pStyle w:val="16"/>
        <w:numPr>
          <w:ilvl w:val="0"/>
          <w:numId w:val="1"/>
        </w:numPr>
        <w:spacing w:after="110"/>
      </w:pPr>
      <w:r>
        <w:rPr>
          <w:b/>
          <w:bCs/>
          <w:color w:val="1F3B57"/>
        </w:rPr>
        <w:t>首页仪表盘（Home Dashboard）：</w:t>
      </w:r>
      <w:r>
        <w:t>作为默认落地页，展示关键指标（访问量 Visits、订单 Orders、营收 Revenue、待处理状态 Pending Status）、简易趋势图，以及最新 5 条动态。</w:t>
      </w:r>
      <w:r>
        <w:rPr>
          <w:rFonts w:hint="eastAsia"/>
          <w:lang w:val="en-US" w:eastAsia="zh-CN"/>
        </w:rPr>
        <w:t>(不着急）</w:t>
      </w:r>
    </w:p>
    <w:p w14:paraId="1FA4739A">
      <w:pPr>
        <w:pStyle w:val="16"/>
        <w:numPr>
          <w:ilvl w:val="0"/>
          <w:numId w:val="1"/>
        </w:numPr>
        <w:spacing w:after="110"/>
      </w:pPr>
      <w:r>
        <w:rPr>
          <w:b/>
          <w:bCs/>
          <w:color w:val="1F3B57"/>
        </w:rPr>
        <w:t>订单管理（Order Management）：</w:t>
      </w:r>
      <w:r>
        <w:t>新增“草稿（Drafts）”与“未完成结算订单（Abandoned Checkouts）”两个子菜单。</w:t>
      </w:r>
    </w:p>
    <w:p w14:paraId="5505BFB7">
      <w:pPr>
        <w:pStyle w:val="16"/>
        <w:numPr>
          <w:ilvl w:val="0"/>
          <w:numId w:val="1"/>
        </w:numPr>
        <w:spacing w:after="110"/>
      </w:pPr>
      <w:r>
        <w:rPr>
          <w:b/>
          <w:bCs/>
          <w:color w:val="1F3B57"/>
        </w:rPr>
        <w:t>优惠券模块（Discounts Module）：</w:t>
      </w:r>
      <w:r>
        <w:t>在“服务（Services）”栏目下新增该模块，支持创建/编辑优惠码，设置百分比或固定金额折扣，指定适用服务/分类，设置有效期，并可查看完整汇总表（标题 Title、状态 Status、方式 Method、适用条件 Eligibility、类型 Type、可叠加规则 Combinations、已使用次数 Used），同时提供“创建”与“导出”按钮。</w:t>
      </w:r>
      <w:r>
        <w:rPr>
          <w:rFonts w:hint="eastAsia"/>
          <w:lang w:val="en-US" w:eastAsia="zh-CN"/>
        </w:rPr>
        <w:t>(不着急）</w:t>
      </w:r>
    </w:p>
    <w:p w14:paraId="7CBA8B2C">
      <w:pPr>
        <w:pStyle w:val="16"/>
        <w:numPr>
          <w:ilvl w:val="0"/>
          <w:numId w:val="1"/>
        </w:numPr>
        <w:spacing w:after="110"/>
      </w:pPr>
      <w:r>
        <w:rPr>
          <w:b/>
          <w:bCs/>
          <w:color w:val="1F3B57"/>
        </w:rPr>
        <w:t>数据分析页（Analytics Page）：</w:t>
      </w:r>
      <w:r>
        <w:t>新增业绩追踪功能，支持日期筛选（今日 / 近7天 / 近30天 / 自定义），核心指标包括已完成订单数、新客与老客对比、热门服务排行，并支持导出为 Excel / PDF。</w:t>
      </w:r>
      <w:r>
        <w:rPr>
          <w:rFonts w:hint="eastAsia"/>
          <w:lang w:val="en-US" w:eastAsia="zh-CN"/>
        </w:rPr>
        <w:t>(不着急）</w:t>
      </w:r>
    </w:p>
    <w:p w14:paraId="2FF7970E">
      <w:pPr>
        <w:pStyle w:val="16"/>
        <w:numPr>
          <w:ilvl w:val="0"/>
          <w:numId w:val="1"/>
        </w:numPr>
        <w:spacing w:after="110"/>
      </w:pPr>
      <w:r>
        <w:rPr>
          <w:rFonts w:hint="eastAsia"/>
          <w:b/>
          <w:bCs/>
          <w:color w:val="1F3B57"/>
          <w:lang w:val="en-US" w:eastAsia="zh-CN"/>
        </w:rPr>
        <w:t>后台管理设置页面照片</w:t>
      </w:r>
      <w:r>
        <w:rPr>
          <w:b/>
          <w:bCs/>
          <w:color w:val="1F3B57"/>
        </w:rPr>
        <w:t>：</w:t>
      </w:r>
      <w:r>
        <w:t>新增首页布局、页面与主题的自定义配置入口。</w:t>
      </w:r>
    </w:p>
    <w:p w14:paraId="166F5428">
      <w:pPr>
        <w:pStyle w:val="16"/>
        <w:numPr>
          <w:ilvl w:val="0"/>
          <w:numId w:val="1"/>
        </w:numPr>
        <w:spacing w:after="110"/>
      </w:pPr>
      <w:r>
        <w:rPr>
          <w:b/>
          <w:bCs/>
          <w:color w:val="1F3B57"/>
        </w:rPr>
        <w:t>整体设计（General Design）：</w:t>
      </w:r>
      <w:r>
        <w:t>保持界面简洁、移动端友好，并具备良好的可扩展性以支持未来功能迭代。</w:t>
      </w:r>
    </w:p>
    <w:p w14:paraId="11C55852">
      <w:pPr>
        <w:pStyle w:val="2"/>
        <w:pBdr>
          <w:bottom w:val="single" w:color="1F3B57" w:sz="8" w:space="4"/>
        </w:pBdr>
        <w:spacing w:before="380" w:after="160"/>
      </w:pPr>
      <w:r>
        <w:rPr>
          <w:color w:val="1F3B57"/>
        </w:rPr>
        <w:t>3. 前端页脚（Front-End Footer）</w:t>
      </w:r>
    </w:p>
    <w:p w14:paraId="1EF2746C">
      <w:pPr>
        <w:spacing w:after="140"/>
      </w:pPr>
      <w:r>
        <w:t>请按以下要求更新网站页脚：</w:t>
      </w:r>
    </w:p>
    <w:p w14:paraId="16F25946">
      <w:pPr>
        <w:pStyle w:val="16"/>
        <w:numPr>
          <w:ilvl w:val="0"/>
          <w:numId w:val="1"/>
        </w:numPr>
        <w:spacing w:after="110"/>
      </w:pPr>
      <w:r>
        <w:rPr>
          <w:b/>
          <w:bCs/>
          <w:color w:val="1F3B57"/>
        </w:rPr>
        <w:t>联系方式：</w:t>
      </w:r>
      <w:r>
        <w:t>在 support@hourxportal.com 旁增加直拨电话号码，以及 WhatsApp 链接/图标。</w:t>
      </w:r>
    </w:p>
    <w:p w14:paraId="314D4EA2">
      <w:pPr>
        <w:pStyle w:val="16"/>
        <w:numPr>
          <w:ilvl w:val="0"/>
          <w:numId w:val="1"/>
        </w:numPr>
        <w:spacing w:after="110"/>
      </w:pPr>
      <w:r>
        <w:rPr>
          <w:b/>
          <w:bCs/>
          <w:color w:val="1F3B57"/>
        </w:rPr>
        <w:t>快捷链接（Quick Links）：</w:t>
      </w:r>
      <w:r>
        <w:t>移除 Terms、Privacy、Data Deletion 三个链接（仅保留在底部信息栏内），改为新增 FAQ 链接。</w:t>
      </w:r>
    </w:p>
    <w:p w14:paraId="10A94A23">
      <w:pPr>
        <w:pStyle w:val="16"/>
        <w:numPr>
          <w:ilvl w:val="0"/>
          <w:numId w:val="1"/>
        </w:numPr>
        <w:spacing w:after="110"/>
      </w:pPr>
      <w:r>
        <w:rPr>
          <w:b/>
          <w:bCs/>
          <w:color w:val="1F3B57"/>
        </w:rPr>
        <w:t>支付图标：</w:t>
      </w:r>
      <w:r>
        <w:t>在底部信息栏增加 Visa、MasterCard、Apple Pay 图标。</w:t>
      </w:r>
    </w:p>
    <w:p w14:paraId="3833EB17">
      <w:pPr>
        <w:pStyle w:val="16"/>
        <w:numPr>
          <w:ilvl w:val="0"/>
          <w:numId w:val="1"/>
        </w:numPr>
        <w:spacing w:after="110"/>
      </w:pPr>
      <w:r>
        <w:rPr>
          <w:b/>
          <w:bCs/>
          <w:color w:val="1F3B57"/>
        </w:rPr>
        <w:t>标语（Tagline）：</w:t>
      </w:r>
      <w:r>
        <w:t>将标语（“Professional home services...”）首字母改为大写。</w:t>
      </w:r>
    </w:p>
    <w:p w14:paraId="5AEF56CE">
      <w:pPr>
        <w:pStyle w:val="16"/>
        <w:numPr>
          <w:ilvl w:val="0"/>
          <w:numId w:val="1"/>
        </w:numPr>
        <w:spacing w:after="110"/>
      </w:pPr>
      <w:r>
        <w:rPr>
          <w:b/>
          <w:bCs/>
          <w:color w:val="1F3B57"/>
        </w:rPr>
        <w:t>客服悬浮窗：</w:t>
      </w:r>
      <w:r>
        <w:t>增大内边距/外边距，避免悬浮的 Support 按钮遮挡页脚内容。</w:t>
      </w:r>
    </w:p>
    <w:p w14:paraId="4BD13AC6">
      <w:pPr>
        <w:spacing w:before="120" w:after="40"/>
        <w:jc w:val="center"/>
      </w:pPr>
      <w:r>
        <w:drawing>
          <wp:inline distT="0" distB="0" distL="0" distR="0">
            <wp:extent cx="4000500" cy="10858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C018">
      <w:pPr>
        <w:spacing w:after="200"/>
        <w:jc w:val="center"/>
      </w:pPr>
      <w:r>
        <w:rPr>
          <w:i/>
          <w:iCs/>
          <w:color w:val="7F7F7F"/>
          <w:sz w:val="16"/>
          <w:szCs w:val="16"/>
        </w:rPr>
        <w:t>图2：页</w:t>
      </w:r>
      <w:bookmarkStart w:id="0" w:name="_GoBack"/>
      <w:bookmarkEnd w:id="0"/>
      <w:r>
        <w:rPr>
          <w:i/>
          <w:iCs/>
          <w:color w:val="7F7F7F"/>
          <w:sz w:val="16"/>
          <w:szCs w:val="16"/>
        </w:rPr>
        <w:t>脚参考示例（Invis Furniture 网站，展示快捷链接、支付图标及底部信息栏布局）</w:t>
      </w:r>
    </w:p>
    <w:p w14:paraId="58A4881F">
      <w:pPr>
        <w:spacing w:before="120" w:after="40"/>
        <w:jc w:val="center"/>
      </w:pPr>
      <w:r>
        <w:drawing>
          <wp:inline distT="0" distB="0" distL="0" distR="0">
            <wp:extent cx="3429000" cy="14478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D92E">
      <w:pPr>
        <w:spacing w:after="200"/>
        <w:jc w:val="center"/>
      </w:pPr>
      <w:r>
        <w:rPr>
          <w:i/>
          <w:iCs/>
          <w:color w:val="7F7F7F"/>
          <w:sz w:val="16"/>
          <w:szCs w:val="16"/>
        </w:rPr>
        <w:t>图3：HourX 页脚效果示意（含电话/WhatsApp、TRN、注册地址及支付图标）</w:t>
      </w:r>
    </w:p>
    <w:p w14:paraId="25F896C0">
      <w:pPr>
        <w:spacing w:after="200"/>
        <w:jc w:val="center"/>
      </w:pP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AA742"/>
    <w:multiLevelType w:val="singleLevel"/>
    <w:tmpl w:val="97EAA742"/>
    <w:lvl w:ilvl="0" w:tentative="0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B7FD285"/>
    <w:rsid w:val="FFF588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00" w:after="150" w:line="300" w:lineRule="auto"/>
    </w:pPr>
    <w:rPr>
      <w:rFonts w:ascii="微软雅黑" w:hAnsi="微软雅黑" w:eastAsia="微软雅黑" w:cs="微软雅黑"/>
      <w:b/>
      <w:bCs/>
      <w:color w:val="1F3B57"/>
      <w:sz w:val="28"/>
      <w:szCs w:val="28"/>
    </w:rPr>
  </w:style>
  <w:style w:type="paragraph" w:styleId="3">
    <w:name w:val="heading 2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pPr>
      <w:spacing w:line="300" w:lineRule="auto"/>
    </w:pPr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00" w:lineRule="auto"/>
    </w:pPr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34</TotalTime>
  <ScaleCrop>false</ScaleCrop>
  <LinksUpToDate>false</LinksUpToDate>
  <Application>WPS Office_12.1.23153.23153_F1E327BC-269C-435d-A152-05C5408002CA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SofiaCao</cp:lastModifiedBy>
  <dcterms:modified xsi:type="dcterms:W3CDTF">2026-08-24T17:55:39Z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2052-12.1.23153.23153</vt:lpwstr>
  </property>
  <property fmtid="{D5CDD505-2E9C-101B-9397-08002B2CF9AE}" pid="3" name="ICV">
    <vt:lpwstr>2C5FFD9A8C49B68A54458C6ACD2273F1_42</vt:lpwstr>
  </property>
</Properties>
</file>