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7AE" w:rsidRPr="008365E1" w:rsidRDefault="0061076D" w:rsidP="00C3022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365E1">
        <w:rPr>
          <w:rFonts w:ascii="Times New Roman" w:eastAsia="宋体" w:hAnsi="Times New Roman" w:cs="Times New Roman"/>
          <w:sz w:val="24"/>
          <w:szCs w:val="24"/>
        </w:rPr>
        <w:t>在分库分区中，有些特定的</w:t>
      </w:r>
      <w:r w:rsidRPr="008365E1">
        <w:rPr>
          <w:rFonts w:ascii="Times New Roman" w:eastAsia="宋体" w:hAnsi="Times New Roman" w:cs="Times New Roman"/>
          <w:sz w:val="24"/>
          <w:szCs w:val="24"/>
        </w:rPr>
        <w:t>SQL</w:t>
      </w:r>
      <w:r w:rsidRPr="008365E1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8365E1">
        <w:rPr>
          <w:rFonts w:ascii="Times New Roman" w:eastAsia="宋体" w:hAnsi="Times New Roman" w:cs="Times New Roman"/>
          <w:sz w:val="24"/>
          <w:szCs w:val="24"/>
        </w:rPr>
        <w:t>Sharding-jdbc</w:t>
      </w:r>
      <w:proofErr w:type="spellEnd"/>
      <w:r w:rsidRPr="008365E1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8365E1">
        <w:rPr>
          <w:rFonts w:ascii="Times New Roman" w:eastAsia="宋体" w:hAnsi="Times New Roman" w:cs="Times New Roman"/>
          <w:sz w:val="24"/>
          <w:szCs w:val="24"/>
        </w:rPr>
        <w:t>Mycat</w:t>
      </w:r>
      <w:proofErr w:type="spellEnd"/>
      <w:r w:rsidRPr="008365E1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8365E1">
        <w:rPr>
          <w:rFonts w:ascii="Times New Roman" w:eastAsia="宋体" w:hAnsi="Times New Roman" w:cs="Times New Roman"/>
          <w:sz w:val="24"/>
          <w:szCs w:val="24"/>
        </w:rPr>
        <w:t>Vitess</w:t>
      </w:r>
      <w:proofErr w:type="spellEnd"/>
      <w:r w:rsidRPr="008365E1">
        <w:rPr>
          <w:rFonts w:ascii="Times New Roman" w:eastAsia="宋体" w:hAnsi="Times New Roman" w:cs="Times New Roman"/>
          <w:sz w:val="24"/>
          <w:szCs w:val="24"/>
        </w:rPr>
        <w:t>都不支持</w:t>
      </w:r>
      <w:r w:rsidRPr="008365E1">
        <w:rPr>
          <w:rFonts w:ascii="Times New Roman" w:eastAsia="宋体" w:hAnsi="Times New Roman" w:cs="Times New Roman"/>
          <w:sz w:val="24"/>
          <w:szCs w:val="24"/>
        </w:rPr>
        <w:t>,</w:t>
      </w:r>
      <w:r w:rsidRPr="008365E1">
        <w:rPr>
          <w:rFonts w:ascii="Times New Roman" w:eastAsia="宋体" w:hAnsi="Times New Roman" w:cs="Times New Roman"/>
          <w:sz w:val="24"/>
          <w:szCs w:val="24"/>
        </w:rPr>
        <w:t>例如：</w:t>
      </w:r>
      <w:r w:rsidRPr="008365E1">
        <w:rPr>
          <w:rFonts w:ascii="Times New Roman" w:eastAsia="宋体" w:hAnsi="Times New Roman" w:cs="Times New Roman"/>
          <w:sz w:val="24"/>
          <w:szCs w:val="24"/>
        </w:rPr>
        <w:t>insert into table1 select * from table2 where ....</w:t>
      </w:r>
      <w:r w:rsidRPr="008365E1">
        <w:rPr>
          <w:rFonts w:ascii="Times New Roman" w:eastAsia="宋体" w:hAnsi="Times New Roman" w:cs="Times New Roman"/>
          <w:sz w:val="24"/>
          <w:szCs w:val="24"/>
        </w:rPr>
        <w:t>这种</w:t>
      </w:r>
      <w:r w:rsidRPr="008365E1">
        <w:rPr>
          <w:rFonts w:ascii="Times New Roman" w:eastAsia="宋体" w:hAnsi="Times New Roman" w:cs="Times New Roman"/>
          <w:sz w:val="24"/>
          <w:szCs w:val="24"/>
        </w:rPr>
        <w:t xml:space="preserve">SQL </w:t>
      </w:r>
      <w:r w:rsidRPr="008365E1">
        <w:rPr>
          <w:rFonts w:ascii="Times New Roman" w:eastAsia="宋体" w:hAnsi="Times New Roman" w:cs="Times New Roman"/>
          <w:sz w:val="24"/>
          <w:szCs w:val="24"/>
        </w:rPr>
        <w:t>路由很麻烦，需要解析</w:t>
      </w:r>
      <w:r w:rsidRPr="008365E1">
        <w:rPr>
          <w:rFonts w:ascii="Times New Roman" w:eastAsia="宋体" w:hAnsi="Times New Roman" w:cs="Times New Roman"/>
          <w:sz w:val="24"/>
          <w:szCs w:val="24"/>
        </w:rPr>
        <w:t>table2</w:t>
      </w:r>
      <w:r w:rsidRPr="008365E1">
        <w:rPr>
          <w:rFonts w:ascii="Times New Roman" w:eastAsia="宋体" w:hAnsi="Times New Roman" w:cs="Times New Roman"/>
          <w:sz w:val="24"/>
          <w:szCs w:val="24"/>
        </w:rPr>
        <w:t>的路由</w:t>
      </w:r>
      <w:r w:rsidRPr="008365E1">
        <w:rPr>
          <w:rFonts w:ascii="Times New Roman" w:eastAsia="宋体" w:hAnsi="Times New Roman" w:cs="Times New Roman"/>
          <w:sz w:val="24"/>
          <w:szCs w:val="24"/>
        </w:rPr>
        <w:t>,</w:t>
      </w:r>
      <w:r w:rsidRPr="008365E1">
        <w:rPr>
          <w:rFonts w:ascii="Times New Roman" w:eastAsia="宋体" w:hAnsi="Times New Roman" w:cs="Times New Roman"/>
          <w:sz w:val="24"/>
          <w:szCs w:val="24"/>
        </w:rPr>
        <w:t>结果集归并，</w:t>
      </w:r>
      <w:r w:rsidRPr="008365E1">
        <w:rPr>
          <w:rFonts w:ascii="Times New Roman" w:eastAsia="宋体" w:hAnsi="Times New Roman" w:cs="Times New Roman"/>
          <w:sz w:val="24"/>
          <w:szCs w:val="24"/>
        </w:rPr>
        <w:t xml:space="preserve">insert </w:t>
      </w:r>
      <w:r w:rsidRPr="008365E1">
        <w:rPr>
          <w:rFonts w:ascii="Times New Roman" w:eastAsia="宋体" w:hAnsi="Times New Roman" w:cs="Times New Roman"/>
          <w:sz w:val="24"/>
          <w:szCs w:val="24"/>
        </w:rPr>
        <w:t>语句也需要同样的路由解析。这种情况</w:t>
      </w:r>
      <w:proofErr w:type="spellStart"/>
      <w:r w:rsidRPr="008365E1">
        <w:rPr>
          <w:rFonts w:ascii="Times New Roman" w:eastAsia="宋体" w:hAnsi="Times New Roman" w:cs="Times New Roman"/>
          <w:sz w:val="24"/>
          <w:szCs w:val="24"/>
        </w:rPr>
        <w:t>Sharding-jdbc</w:t>
      </w:r>
      <w:proofErr w:type="spellEnd"/>
      <w:r w:rsidRPr="008365E1">
        <w:rPr>
          <w:rFonts w:ascii="Times New Roman" w:eastAsia="宋体" w:hAnsi="Times New Roman" w:cs="Times New Roman"/>
          <w:sz w:val="24"/>
          <w:szCs w:val="24"/>
        </w:rPr>
        <w:t>可以使用</w:t>
      </w:r>
      <w:r w:rsidRPr="008365E1">
        <w:rPr>
          <w:rFonts w:ascii="Times New Roman" w:eastAsia="宋体" w:hAnsi="Times New Roman" w:cs="Times New Roman"/>
          <w:sz w:val="24"/>
          <w:szCs w:val="24"/>
        </w:rPr>
        <w:t>Hint</w:t>
      </w:r>
      <w:r w:rsidRPr="008365E1">
        <w:rPr>
          <w:rFonts w:ascii="Times New Roman" w:eastAsia="宋体" w:hAnsi="Times New Roman" w:cs="Times New Roman"/>
          <w:sz w:val="24"/>
          <w:szCs w:val="24"/>
        </w:rPr>
        <w:t>分片策略来实现各种</w:t>
      </w:r>
      <w:proofErr w:type="spellStart"/>
      <w:r w:rsidRPr="008365E1">
        <w:rPr>
          <w:rFonts w:ascii="Times New Roman" w:eastAsia="宋体" w:hAnsi="Times New Roman" w:cs="Times New Roman"/>
          <w:sz w:val="24"/>
          <w:szCs w:val="24"/>
        </w:rPr>
        <w:t>Sharding-jdbc</w:t>
      </w:r>
      <w:proofErr w:type="spellEnd"/>
      <w:r w:rsidRPr="008365E1">
        <w:rPr>
          <w:rFonts w:ascii="Times New Roman" w:eastAsia="宋体" w:hAnsi="Times New Roman" w:cs="Times New Roman"/>
          <w:sz w:val="24"/>
          <w:szCs w:val="24"/>
        </w:rPr>
        <w:t>不支持语法的限制</w:t>
      </w:r>
      <w:r w:rsidRPr="008365E1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15E79" w:rsidRDefault="00585B29" w:rsidP="00215E79">
      <w:pPr>
        <w:widowControl/>
        <w:shd w:val="clear" w:color="auto" w:fill="FFFFFF"/>
        <w:spacing w:line="400" w:lineRule="exact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65E1">
        <w:rPr>
          <w:rFonts w:ascii="Times New Roman" w:eastAsia="宋体" w:hAnsi="Times New Roman" w:cs="Times New Roman"/>
          <w:sz w:val="24"/>
          <w:szCs w:val="24"/>
        </w:rPr>
        <w:t>Hint</w:t>
      </w:r>
      <w:proofErr w:type="gramStart"/>
      <w:r w:rsidRPr="008365E1">
        <w:rPr>
          <w:rFonts w:ascii="Times New Roman" w:eastAsia="宋体" w:hAnsi="Times New Roman" w:cs="Times New Roman"/>
          <w:sz w:val="24"/>
          <w:szCs w:val="24"/>
        </w:rPr>
        <w:t>分片指</w:t>
      </w:r>
      <w:proofErr w:type="gramEnd"/>
      <w:r w:rsidRPr="008365E1">
        <w:rPr>
          <w:rFonts w:ascii="Times New Roman" w:eastAsia="宋体" w:hAnsi="Times New Roman" w:cs="Times New Roman"/>
          <w:sz w:val="24"/>
          <w:szCs w:val="24"/>
        </w:rPr>
        <w:t>的是对于分片字段非</w:t>
      </w:r>
      <w:r w:rsidRPr="008365E1">
        <w:rPr>
          <w:rFonts w:ascii="Times New Roman" w:eastAsia="宋体" w:hAnsi="Times New Roman" w:cs="Times New Roman"/>
          <w:sz w:val="24"/>
          <w:szCs w:val="24"/>
        </w:rPr>
        <w:t>SQL</w:t>
      </w:r>
      <w:r w:rsidRPr="008365E1">
        <w:rPr>
          <w:rFonts w:ascii="Times New Roman" w:eastAsia="宋体" w:hAnsi="Times New Roman" w:cs="Times New Roman"/>
          <w:sz w:val="24"/>
          <w:szCs w:val="24"/>
        </w:rPr>
        <w:t>决定，而由其他外置条件决定的场景，可使用</w:t>
      </w:r>
      <w:r w:rsidRPr="008365E1">
        <w:rPr>
          <w:rFonts w:ascii="Times New Roman" w:eastAsia="宋体" w:hAnsi="Times New Roman" w:cs="Times New Roman"/>
          <w:sz w:val="24"/>
          <w:szCs w:val="24"/>
        </w:rPr>
        <w:t>SQL Hint</w:t>
      </w:r>
      <w:r w:rsidRPr="008365E1">
        <w:rPr>
          <w:rFonts w:ascii="Times New Roman" w:eastAsia="宋体" w:hAnsi="Times New Roman" w:cs="Times New Roman"/>
          <w:sz w:val="24"/>
          <w:szCs w:val="24"/>
        </w:rPr>
        <w:t>灵活的注入分片字段。</w:t>
      </w:r>
      <w:r w:rsidR="00774223" w:rsidRPr="008365E1">
        <w:rPr>
          <w:rFonts w:ascii="Times New Roman" w:eastAsia="宋体" w:hAnsi="Times New Roman" w:cs="Times New Roman"/>
          <w:sz w:val="24"/>
          <w:szCs w:val="24"/>
        </w:rPr>
        <w:t>而由于</w:t>
      </w:r>
      <w:r w:rsidR="00774223" w:rsidRPr="008365E1">
        <w:rPr>
          <w:rFonts w:ascii="Times New Roman" w:eastAsia="宋体" w:hAnsi="Times New Roman" w:cs="Times New Roman"/>
          <w:kern w:val="0"/>
          <w:sz w:val="24"/>
          <w:szCs w:val="24"/>
        </w:rPr>
        <w:t>Hint</w:t>
      </w:r>
      <w:r w:rsidR="00774223" w:rsidRPr="008365E1">
        <w:rPr>
          <w:rFonts w:ascii="Times New Roman" w:eastAsia="宋体" w:hAnsi="Times New Roman" w:cs="Times New Roman"/>
          <w:kern w:val="0"/>
          <w:sz w:val="24"/>
          <w:szCs w:val="24"/>
        </w:rPr>
        <w:t>分片策略绕过</w:t>
      </w:r>
      <w:r w:rsidR="00774223" w:rsidRPr="008365E1">
        <w:rPr>
          <w:rFonts w:ascii="Times New Roman" w:eastAsia="宋体" w:hAnsi="Times New Roman" w:cs="Times New Roman"/>
          <w:kern w:val="0"/>
          <w:sz w:val="24"/>
          <w:szCs w:val="24"/>
        </w:rPr>
        <w:t>了</w:t>
      </w:r>
      <w:r w:rsidR="00774223" w:rsidRPr="008365E1">
        <w:rPr>
          <w:rFonts w:ascii="Times New Roman" w:eastAsia="宋体" w:hAnsi="Times New Roman" w:cs="Times New Roman"/>
          <w:kern w:val="0"/>
          <w:sz w:val="24"/>
          <w:szCs w:val="24"/>
        </w:rPr>
        <w:t>SQL</w:t>
      </w:r>
      <w:r w:rsidR="00774223" w:rsidRPr="008365E1">
        <w:rPr>
          <w:rFonts w:ascii="Times New Roman" w:eastAsia="宋体" w:hAnsi="Times New Roman" w:cs="Times New Roman"/>
          <w:kern w:val="0"/>
          <w:sz w:val="24"/>
          <w:szCs w:val="24"/>
        </w:rPr>
        <w:t>解析，所以对于这些比较复杂的需要分片的查询，采用</w:t>
      </w:r>
      <w:r w:rsidR="00774223" w:rsidRPr="008365E1">
        <w:rPr>
          <w:rFonts w:ascii="Times New Roman" w:eastAsia="宋体" w:hAnsi="Times New Roman" w:cs="Times New Roman"/>
          <w:kern w:val="0"/>
          <w:sz w:val="24"/>
          <w:szCs w:val="24"/>
        </w:rPr>
        <w:t>Hint</w:t>
      </w:r>
      <w:r w:rsidR="00774223" w:rsidRPr="008365E1">
        <w:rPr>
          <w:rFonts w:ascii="Times New Roman" w:eastAsia="宋体" w:hAnsi="Times New Roman" w:cs="Times New Roman"/>
          <w:kern w:val="0"/>
          <w:sz w:val="24"/>
          <w:szCs w:val="24"/>
        </w:rPr>
        <w:t>分片策略性能可能会更好</w:t>
      </w:r>
      <w:r w:rsidR="00214929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F82F1C" w:rsidRPr="000D212E" w:rsidRDefault="00214929" w:rsidP="000D212E">
      <w:pPr>
        <w:widowControl/>
        <w:shd w:val="clear" w:color="auto" w:fill="FFFFFF"/>
        <w:spacing w:line="400" w:lineRule="exact"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214929">
        <w:rPr>
          <w:rFonts w:ascii="Times New Roman" w:eastAsia="宋体" w:hAnsi="Times New Roman" w:cs="Times New Roman"/>
          <w:sz w:val="24"/>
          <w:szCs w:val="24"/>
        </w:rPr>
        <w:t>在读写分离数据库中，</w:t>
      </w:r>
      <w:r w:rsidRPr="00214929">
        <w:rPr>
          <w:rFonts w:ascii="Times New Roman" w:eastAsia="宋体" w:hAnsi="Times New Roman" w:cs="Times New Roman"/>
          <w:sz w:val="24"/>
          <w:szCs w:val="24"/>
        </w:rPr>
        <w:t xml:space="preserve">Hint </w:t>
      </w:r>
      <w:r w:rsidRPr="00214929">
        <w:rPr>
          <w:rFonts w:ascii="Times New Roman" w:eastAsia="宋体" w:hAnsi="Times New Roman" w:cs="Times New Roman"/>
          <w:sz w:val="24"/>
          <w:szCs w:val="24"/>
        </w:rPr>
        <w:t>可以通过</w:t>
      </w:r>
      <w:proofErr w:type="spellStart"/>
      <w:r w:rsidRPr="00214929">
        <w:rPr>
          <w:rFonts w:ascii="Times New Roman" w:eastAsia="宋体" w:hAnsi="Times New Roman" w:cs="Times New Roman"/>
          <w:sz w:val="24"/>
          <w:szCs w:val="24"/>
        </w:rPr>
        <w:t>HintManager.setMasterRouteOnly</w:t>
      </w:r>
      <w:proofErr w:type="spellEnd"/>
      <w:r w:rsidRPr="00214929">
        <w:rPr>
          <w:rFonts w:ascii="Times New Roman" w:eastAsia="宋体" w:hAnsi="Times New Roman" w:cs="Times New Roman"/>
          <w:sz w:val="24"/>
          <w:szCs w:val="24"/>
        </w:rPr>
        <w:t>()</w:t>
      </w:r>
      <w:r w:rsidRPr="00214929">
        <w:rPr>
          <w:rFonts w:ascii="Times New Roman" w:eastAsia="宋体" w:hAnsi="Times New Roman" w:cs="Times New Roman"/>
          <w:sz w:val="24"/>
          <w:szCs w:val="24"/>
        </w:rPr>
        <w:t>方法，强制读主库</w:t>
      </w:r>
      <w:r w:rsidR="00DA5E1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F82F1C" w:rsidRPr="000D2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4034"/>
    <w:multiLevelType w:val="multilevel"/>
    <w:tmpl w:val="B18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D5957"/>
    <w:multiLevelType w:val="multilevel"/>
    <w:tmpl w:val="485E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300951">
    <w:abstractNumId w:val="0"/>
  </w:num>
  <w:num w:numId="2" w16cid:durableId="71246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0D212E"/>
    <w:rsid w:val="00214929"/>
    <w:rsid w:val="00215E79"/>
    <w:rsid w:val="0026694E"/>
    <w:rsid w:val="00293BB1"/>
    <w:rsid w:val="00487DBE"/>
    <w:rsid w:val="00535D7A"/>
    <w:rsid w:val="00585B29"/>
    <w:rsid w:val="0061076D"/>
    <w:rsid w:val="0068093D"/>
    <w:rsid w:val="00774223"/>
    <w:rsid w:val="008365E1"/>
    <w:rsid w:val="008E61F3"/>
    <w:rsid w:val="009F4FA7"/>
    <w:rsid w:val="00C30221"/>
    <w:rsid w:val="00DA5E1A"/>
    <w:rsid w:val="00DF2F44"/>
    <w:rsid w:val="00E32F02"/>
    <w:rsid w:val="00E46CE8"/>
    <w:rsid w:val="00F82F1C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AA4C"/>
  <w15:chartTrackingRefBased/>
  <w15:docId w15:val="{BFBC85D4-2B2C-4424-B6D5-0B065055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30</cp:revision>
  <dcterms:created xsi:type="dcterms:W3CDTF">2023-05-04T00:11:00Z</dcterms:created>
  <dcterms:modified xsi:type="dcterms:W3CDTF">2023-05-22T00:32:00Z</dcterms:modified>
</cp:coreProperties>
</file>