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color w:val="1F9A4E"/>
          <w:sz w:val="72"/>
        </w:rPr>
        <w:t>碳  迹</w:t>
      </w:r>
    </w:p>
    <w:p>
      <w:pPr>
        <w:jc w:val="center"/>
      </w:pPr>
      <w:r>
        <w:rPr>
          <w:rFonts w:ascii="黑体" w:hAnsi="黑体" w:eastAsia="黑体"/>
          <w:b w:val="0"/>
          <w:sz w:val="32"/>
        </w:rPr>
        <w:t>碳足迹 · 全民绿色生活碳积分与减排指南</w:t>
      </w:r>
    </w:p>
    <w:p/>
    <w:p>
      <w:pPr>
        <w:jc w:val="center"/>
      </w:pPr>
      <w:r>
        <w:rPr>
          <w:rFonts w:ascii="黑体" w:hAnsi="黑体" w:eastAsia="黑体"/>
          <w:b/>
          <w:sz w:val="40"/>
        </w:rPr>
        <w:t>设 计 说 明 书</w:t>
      </w:r>
    </w:p>
    <w:p/>
    <w:p/>
    <w:p/>
    <w:p/>
    <w:p/>
    <w:p/>
    <w:p>
      <w:pPr>
        <w:jc w:val="center"/>
      </w:pPr>
      <w:r>
        <w:rPr>
          <w:rFonts w:ascii="宋体" w:hAnsi="宋体" w:eastAsia="宋体"/>
          <w:b w:val="0"/>
          <w:sz w:val="24"/>
        </w:rPr>
        <w:t>参赛赛题：赛题二  碳足迹·全民绿色生活碳积分与减排指南</w:t>
      </w:r>
    </w:p>
    <w:p>
      <w:r>
        <w:br w:type="page"/>
      </w:r>
    </w:p>
    <w:p>
      <w:pPr>
        <w:spacing w:line="360" w:lineRule="auto" w:before="280" w:after="160"/>
      </w:pPr>
      <w:r>
        <w:rPr>
          <w:rFonts w:ascii="黑体" w:hAnsi="黑体" w:eastAsia="黑体"/>
          <w:b/>
          <w:color w:val="1F9A4E"/>
          <w:sz w:val="32"/>
        </w:rPr>
        <w:t>一、作品概述</w:t>
      </w:r>
    </w:p>
    <w:p>
      <w:pPr>
        <w:spacing w:line="360" w:lineRule="auto" w:before="200" w:after="160"/>
      </w:pPr>
      <w:r>
        <w:rPr>
          <w:rFonts w:ascii="宋体" w:hAnsi="宋体" w:eastAsia="宋体"/>
          <w:b/>
          <w:sz w:val="28"/>
        </w:rPr>
        <w:t>1.1 设计思路</w:t>
      </w:r>
    </w:p>
    <w:p>
      <w:pPr>
        <w:spacing w:line="360" w:lineRule="auto" w:after="120"/>
        <w:ind w:firstLine="480"/>
      </w:pPr>
      <w:r>
        <w:rPr>
          <w:rFonts w:ascii="宋体" w:hAnsi="宋体" w:eastAsia="宋体"/>
          <w:b w:val="0"/>
          <w:sz w:val="24"/>
        </w:rPr>
        <w:t>本作品面向国家「双碳」战略中的公众参与环节，试图回答一个具体问题：普通人每天的低碳行为，究竟减了多少碳？这些减排量又能换来什么？</w:t>
      </w:r>
    </w:p>
    <w:p>
      <w:pPr>
        <w:spacing w:line="360" w:lineRule="auto" w:after="120"/>
        <w:ind w:firstLine="480"/>
      </w:pPr>
      <w:r>
        <w:rPr>
          <w:rFonts w:ascii="宋体" w:hAnsi="宋体" w:eastAsia="宋体"/>
          <w:b w:val="0"/>
          <w:sz w:val="24"/>
        </w:rPr>
        <w:t>围绕这个问题，作品把「量化—激励—回馈」做成了一条完整闭环：</w:t>
      </w:r>
    </w:p>
    <w:p>
      <w:pPr>
        <w:pStyle w:val="ListBullet"/>
        <w:spacing w:line="360" w:lineRule="auto" w:after="60"/>
      </w:pPr>
      <w:r>
        <w:rPr>
          <w:rFonts w:ascii="宋体" w:hAnsi="宋体" w:eastAsia="宋体"/>
          <w:b w:val="0"/>
          <w:sz w:val="24"/>
        </w:rPr>
        <w:t>量化：把出行、节水节电、旧物回收、光盘行动四类日常行为，乘以内置的碳排放因子，折算成可比较的减排量（kg CO₂e）。</w:t>
      </w:r>
    </w:p>
    <w:p>
      <w:pPr>
        <w:pStyle w:val="ListBullet"/>
        <w:spacing w:line="360" w:lineRule="auto" w:after="60"/>
      </w:pPr>
      <w:r>
        <w:rPr>
          <w:rFonts w:ascii="宋体" w:hAnsi="宋体" w:eastAsia="宋体"/>
          <w:b w:val="0"/>
          <w:sz w:val="24"/>
        </w:rPr>
        <w:t>激励：按减排量发放碳积分，配合每日低碳任务、虚拟徽章与电子证书，形成正反馈。</w:t>
      </w:r>
    </w:p>
    <w:p>
      <w:pPr>
        <w:pStyle w:val="ListBullet"/>
        <w:spacing w:line="360" w:lineRule="auto" w:after="60"/>
      </w:pPr>
      <w:r>
        <w:rPr>
          <w:rFonts w:ascii="宋体" w:hAnsi="宋体" w:eastAsia="宋体"/>
          <w:b w:val="0"/>
          <w:sz w:val="24"/>
        </w:rPr>
        <w:t>回馈：积分可上报到「城市碳普惠平台」，兑换地铁乘车券、共享单车券等真实权益。</w:t>
      </w:r>
    </w:p>
    <w:p>
      <w:pPr>
        <w:spacing w:line="360" w:lineRule="auto" w:after="120"/>
        <w:ind w:firstLine="480"/>
      </w:pPr>
      <w:r>
        <w:rPr>
          <w:rFonts w:ascii="宋体" w:hAnsi="宋体" w:eastAsia="宋体"/>
          <w:b w:val="0"/>
          <w:sz w:val="24"/>
        </w:rPr>
        <w:t>设计过程中有三处刻意的取舍，也是本作品与同类作品的主要区别：</w:t>
      </w:r>
    </w:p>
    <w:p>
      <w:pPr>
        <w:spacing w:line="360" w:lineRule="auto" w:after="120"/>
        <w:ind w:firstLine="480"/>
      </w:pPr>
      <w:r>
        <w:rPr>
          <w:rFonts w:ascii="宋体" w:hAnsi="宋体" w:eastAsia="宋体"/>
          <w:b w:val="0"/>
          <w:sz w:val="24"/>
        </w:rPr>
        <w:t>第一，数据全部留在本机。赛题将本作品定位为「单机版」，我们没有把它当成限制，而是当成隐私优势：碳账本属于个人数据，全量本地存储、完全离线可用，既契合信创语境下的数据主权诉求，也让演示环节不依赖现场网络。</w:t>
      </w:r>
    </w:p>
    <w:p>
      <w:pPr>
        <w:spacing w:line="360" w:lineRule="auto" w:after="120"/>
        <w:ind w:firstLine="480"/>
      </w:pPr>
      <w:r>
        <w:rPr>
          <w:rFonts w:ascii="宋体" w:hAnsi="宋体" w:eastAsia="宋体"/>
          <w:b w:val="0"/>
          <w:sz w:val="24"/>
        </w:rPr>
        <w:t>第二，AI 用来「预填」而不是「判定」。端侧图像识别只在高置信度时预填表单，低置信度交给用户确认。原因是通用分类模型天然分不清「新能源车与燃油车」「地铁与公交」这类细分类别，强行自动判定只会污染用户的碳账本。这一取舍既保证了体验，也避免了对「AI 是否可靠」的过度承诺。</w:t>
      </w:r>
    </w:p>
    <w:p>
      <w:pPr>
        <w:spacing w:line="360" w:lineRule="auto" w:after="120"/>
        <w:ind w:firstLine="480"/>
      </w:pPr>
      <w:r>
        <w:rPr>
          <w:rFonts w:ascii="宋体" w:hAnsi="宋体" w:eastAsia="宋体"/>
          <w:b w:val="0"/>
          <w:sz w:val="24"/>
        </w:rPr>
        <w:t>第三，每个因子都必须能追溯到出处。应用内每条碳排放因子都标注了数据来源与基准情景，用户可以随时查看。这既是功能要求，也是本作品在严谨性上的立足点。</w:t>
      </w:r>
    </w:p>
    <w:p>
      <w:pPr>
        <w:spacing w:line="360" w:lineRule="auto" w:before="200" w:after="160"/>
      </w:pPr>
      <w:r>
        <w:rPr>
          <w:rFonts w:ascii="宋体" w:hAnsi="宋体" w:eastAsia="宋体"/>
          <w:b/>
          <w:sz w:val="28"/>
        </w:rPr>
        <w:t>1.2 与赛题要求的对应关系</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3456"/>
          </w:tcPr>
          <w:p>
            <w:pPr>
              <w:spacing w:line="300" w:lineRule="auto" w:after="40"/>
              <w:jc w:val="center"/>
            </w:pPr>
            <w:r/>
            <w:r>
              <w:rPr>
                <w:rFonts w:ascii="宋体" w:hAnsi="宋体" w:eastAsia="宋体"/>
                <w:b/>
                <w:sz w:val="20"/>
              </w:rPr>
              <w:t>赛题要求</w:t>
            </w:r>
          </w:p>
        </w:tc>
        <w:tc>
          <w:tcPr>
            <w:tcW w:type="dxa" w:w="1344"/>
          </w:tcPr>
          <w:p>
            <w:pPr>
              <w:spacing w:line="300" w:lineRule="auto" w:after="40"/>
              <w:jc w:val="center"/>
            </w:pPr>
            <w:r/>
            <w:r>
              <w:rPr>
                <w:rFonts w:ascii="宋体" w:hAnsi="宋体" w:eastAsia="宋体"/>
                <w:b/>
                <w:sz w:val="20"/>
              </w:rPr>
              <w:t>实现情况</w:t>
            </w:r>
          </w:p>
        </w:tc>
        <w:tc>
          <w:tcPr>
            <w:tcW w:type="dxa" w:w="3840"/>
          </w:tcPr>
          <w:p>
            <w:pPr>
              <w:spacing w:line="300" w:lineRule="auto" w:after="40"/>
              <w:jc w:val="center"/>
            </w:pPr>
            <w:r/>
            <w:r>
              <w:rPr>
                <w:rFonts w:ascii="宋体" w:hAnsi="宋体" w:eastAsia="宋体"/>
                <w:b/>
                <w:sz w:val="20"/>
              </w:rPr>
              <w:t>对应模块</w:t>
            </w:r>
          </w:p>
        </w:tc>
      </w:tr>
      <w:tr>
        <w:trPr>
          <w:cantSplit/>
        </w:trPr>
        <w:tc>
          <w:tcPr>
            <w:tcW w:type="dxa" w:w="3456"/>
          </w:tcPr>
          <w:p>
            <w:pPr>
              <w:spacing w:line="300" w:lineRule="auto" w:after="40"/>
            </w:pPr>
            <w:r/>
            <w:r>
              <w:rPr>
                <w:rFonts w:ascii="宋体" w:hAnsi="宋体" w:eastAsia="宋体"/>
                <w:b w:val="0"/>
                <w:sz w:val="20"/>
              </w:rPr>
              <w:t>主要功能 1  低碳行为核算</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记一笔、数据仓储、碳排放因子库</w:t>
            </w:r>
          </w:p>
        </w:tc>
      </w:tr>
      <w:tr>
        <w:trPr>
          <w:cantSplit/>
        </w:trPr>
        <w:tc>
          <w:tcPr>
            <w:tcW w:type="dxa" w:w="3456"/>
          </w:tcPr>
          <w:p>
            <w:pPr>
              <w:spacing w:line="300" w:lineRule="auto" w:after="40"/>
            </w:pPr>
            <w:r/>
            <w:r>
              <w:rPr>
                <w:rFonts w:ascii="宋体" w:hAnsi="宋体" w:eastAsia="宋体"/>
                <w:b w:val="0"/>
                <w:sz w:val="20"/>
              </w:rPr>
              <w:t>主要功能 2  数据可视化看板</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看板（折线图／柱状图／饼图，日周月年切换）</w:t>
            </w:r>
          </w:p>
        </w:tc>
      </w:tr>
      <w:tr>
        <w:trPr>
          <w:cantSplit/>
        </w:trPr>
        <w:tc>
          <w:tcPr>
            <w:tcW w:type="dxa" w:w="3456"/>
          </w:tcPr>
          <w:p>
            <w:pPr>
              <w:spacing w:line="300" w:lineRule="auto" w:after="40"/>
            </w:pPr>
            <w:r/>
            <w:r>
              <w:rPr>
                <w:rFonts w:ascii="宋体" w:hAnsi="宋体" w:eastAsia="宋体"/>
                <w:b w:val="0"/>
                <w:sz w:val="20"/>
              </w:rPr>
              <w:t>主要功能 3  碳积分激励体系</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积分（任务、兑换、流水）</w:t>
            </w:r>
          </w:p>
        </w:tc>
      </w:tr>
      <w:tr>
        <w:trPr>
          <w:cantSplit/>
        </w:trPr>
        <w:tc>
          <w:tcPr>
            <w:tcW w:type="dxa" w:w="3456"/>
          </w:tcPr>
          <w:p>
            <w:pPr>
              <w:spacing w:line="300" w:lineRule="auto" w:after="40"/>
            </w:pPr>
            <w:r/>
            <w:r>
              <w:rPr>
                <w:rFonts w:ascii="宋体" w:hAnsi="宋体" w:eastAsia="宋体"/>
                <w:b w:val="0"/>
                <w:sz w:val="20"/>
              </w:rPr>
              <w:t>主要功能 4  双碳科普专栏</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科普（8 篇图文，支持分类筛选）</w:t>
            </w:r>
          </w:p>
        </w:tc>
      </w:tr>
      <w:tr>
        <w:trPr>
          <w:cantSplit/>
        </w:trPr>
        <w:tc>
          <w:tcPr>
            <w:tcW w:type="dxa" w:w="3456"/>
          </w:tcPr>
          <w:p>
            <w:pPr>
              <w:spacing w:line="300" w:lineRule="auto" w:after="40"/>
            </w:pPr>
            <w:r/>
            <w:r>
              <w:rPr>
                <w:rFonts w:ascii="宋体" w:hAnsi="宋体" w:eastAsia="宋体"/>
                <w:b w:val="0"/>
                <w:sz w:val="20"/>
              </w:rPr>
              <w:t>主要功能 5  本地数据管理</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我的（备份为 JSON、导出 CSV 报表）</w:t>
            </w:r>
          </w:p>
        </w:tc>
      </w:tr>
      <w:tr>
        <w:trPr>
          <w:cantSplit/>
        </w:trPr>
        <w:tc>
          <w:tcPr>
            <w:tcW w:type="dxa" w:w="3456"/>
          </w:tcPr>
          <w:p>
            <w:pPr>
              <w:spacing w:line="300" w:lineRule="auto" w:after="40"/>
            </w:pPr>
            <w:r/>
            <w:r>
              <w:rPr>
                <w:rFonts w:ascii="宋体" w:hAnsi="宋体" w:eastAsia="宋体"/>
                <w:b w:val="0"/>
                <w:sz w:val="20"/>
              </w:rPr>
              <w:t>创新拓展 1  超级终端多设备同步</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超级终端同步面板（家庭碳积分合并）</w:t>
            </w:r>
          </w:p>
        </w:tc>
      </w:tr>
      <w:tr>
        <w:trPr>
          <w:cantSplit/>
        </w:trPr>
        <w:tc>
          <w:tcPr>
            <w:tcW w:type="dxa" w:w="3456"/>
          </w:tcPr>
          <w:p>
            <w:pPr>
              <w:spacing w:line="300" w:lineRule="auto" w:after="40"/>
            </w:pPr>
            <w:r/>
            <w:r>
              <w:rPr>
                <w:rFonts w:ascii="宋体" w:hAnsi="宋体" w:eastAsia="宋体"/>
                <w:b w:val="0"/>
                <w:sz w:val="20"/>
              </w:rPr>
              <w:t>创新拓展 2  端侧 AI 图片识别</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端侧 AI 识图（MindSpore Lite ＋ 端侧 OCR）</w:t>
            </w:r>
          </w:p>
        </w:tc>
      </w:tr>
      <w:tr>
        <w:trPr>
          <w:cantSplit/>
        </w:trPr>
        <w:tc>
          <w:tcPr>
            <w:tcW w:type="dxa" w:w="3456"/>
          </w:tcPr>
          <w:p>
            <w:pPr>
              <w:spacing w:line="300" w:lineRule="auto" w:after="40"/>
            </w:pPr>
            <w:r/>
            <w:r>
              <w:rPr>
                <w:rFonts w:ascii="宋体" w:hAnsi="宋体" w:eastAsia="宋体"/>
                <w:b w:val="0"/>
                <w:sz w:val="20"/>
              </w:rPr>
              <w:t>创新拓展 3  模拟城市碳普惠接口</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积分页「城市碳普惠平台」专区</w:t>
            </w:r>
          </w:p>
        </w:tc>
      </w:tr>
      <w:tr>
        <w:trPr>
          <w:cantSplit/>
        </w:trPr>
        <w:tc>
          <w:tcPr>
            <w:tcW w:type="dxa" w:w="3456"/>
          </w:tcPr>
          <w:p>
            <w:pPr>
              <w:spacing w:line="300" w:lineRule="auto" w:after="40"/>
            </w:pPr>
            <w:r/>
            <w:r>
              <w:rPr>
                <w:rFonts w:ascii="宋体" w:hAnsi="宋体" w:eastAsia="宋体"/>
                <w:b w:val="0"/>
                <w:sz w:val="20"/>
              </w:rPr>
              <w:t>创新拓展 4  智能服务与社交分享</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今日任务、低碳建议、减排成果分享图</w:t>
            </w:r>
          </w:p>
        </w:tc>
      </w:tr>
      <w:tr>
        <w:trPr>
          <w:cantSplit/>
        </w:trPr>
        <w:tc>
          <w:tcPr>
            <w:tcW w:type="dxa" w:w="3456"/>
          </w:tcPr>
          <w:p>
            <w:pPr>
              <w:spacing w:line="300" w:lineRule="auto" w:after="40"/>
            </w:pPr>
            <w:r/>
            <w:r>
              <w:rPr>
                <w:rFonts w:ascii="宋体" w:hAnsi="宋体" w:eastAsia="宋体"/>
                <w:b w:val="0"/>
                <w:sz w:val="20"/>
              </w:rPr>
              <w:t>（延伸页面）我的年度碳迹</w:t>
            </w:r>
          </w:p>
        </w:tc>
        <w:tc>
          <w:tcPr>
            <w:tcW w:type="dxa" w:w="1344"/>
          </w:tcPr>
          <w:p>
            <w:pPr>
              <w:spacing w:line="300" w:lineRule="auto" w:after="40"/>
            </w:pPr>
            <w:r/>
            <w:r>
              <w:rPr>
                <w:rFonts w:ascii="宋体" w:hAnsi="宋体" w:eastAsia="宋体"/>
                <w:b w:val="0"/>
                <w:sz w:val="20"/>
              </w:rPr>
              <w:t>已实现</w:t>
            </w:r>
          </w:p>
        </w:tc>
        <w:tc>
          <w:tcPr>
            <w:tcW w:type="dxa" w:w="3840"/>
          </w:tcPr>
          <w:p>
            <w:pPr>
              <w:spacing w:line="300" w:lineRule="auto" w:after="40"/>
            </w:pPr>
            <w:r/>
            <w:r>
              <w:rPr>
                <w:rFonts w:ascii="宋体" w:hAnsi="宋体" w:eastAsia="宋体"/>
                <w:b w:val="0"/>
                <w:sz w:val="20"/>
              </w:rPr>
              <w:t>看板 → 全屏年度报告页，全年汇总与减排构成</w:t>
            </w:r>
          </w:p>
        </w:tc>
      </w:tr>
    </w:tbl>
    <w:p>
      <w:pPr>
        <w:spacing w:after="40"/>
      </w:pPr>
    </w:p>
    <w:p>
      <w:pPr>
        <w:spacing w:line="312" w:lineRule="auto" w:after="200"/>
        <w:jc w:val="center"/>
      </w:pPr>
      <w:r>
        <w:rPr>
          <w:rFonts w:ascii="宋体" w:hAnsi="宋体" w:eastAsia="宋体"/>
          <w:b w:val="0"/>
          <w:color w:val="606060"/>
          <w:sz w:val="21"/>
        </w:rPr>
        <w:t>表 1  赛题要求与实现情况对照</w:t>
      </w:r>
    </w:p>
    <w:p>
      <w:pPr>
        <w:spacing w:line="360" w:lineRule="auto" w:before="200" w:after="160"/>
      </w:pPr>
      <w:r>
        <w:rPr>
          <w:rFonts w:ascii="宋体" w:hAnsi="宋体" w:eastAsia="宋体"/>
          <w:b/>
          <w:sz w:val="28"/>
        </w:rPr>
        <w:t>1.3 开发与运行环境</w:t>
      </w:r>
    </w:p>
    <w:tbl>
      <w:tblPr>
        <w:tblStyle w:val="TableGrid"/>
        <w:tblW w:type="auto" w:w="0"/>
        <w:jc w:val="center"/>
        <w:tblLayout w:type="fixed"/>
        <w:tblLook w:firstColumn="1" w:firstRow="1" w:lastColumn="0" w:lastRow="0" w:noHBand="0" w:noVBand="1" w:val="04A0"/>
      </w:tblPr>
      <w:tblGrid>
        <w:gridCol w:w="4320"/>
        <w:gridCol w:w="4320"/>
      </w:tblGrid>
      <w:tr>
        <w:trPr>
          <w:tblHeader/>
          <w:cantSplit/>
        </w:trPr>
        <w:tc>
          <w:tcPr>
            <w:tcW w:type="dxa" w:w="2112"/>
          </w:tcPr>
          <w:p>
            <w:pPr>
              <w:spacing w:line="300" w:lineRule="auto" w:after="40"/>
              <w:jc w:val="center"/>
            </w:pPr>
            <w:r/>
            <w:r>
              <w:rPr>
                <w:rFonts w:ascii="宋体" w:hAnsi="宋体" w:eastAsia="宋体"/>
                <w:b/>
                <w:sz w:val="20"/>
              </w:rPr>
              <w:t>项目</w:t>
            </w:r>
          </w:p>
        </w:tc>
        <w:tc>
          <w:tcPr>
            <w:tcW w:type="dxa" w:w="6528"/>
          </w:tcPr>
          <w:p>
            <w:pPr>
              <w:spacing w:line="300" w:lineRule="auto" w:after="40"/>
              <w:jc w:val="center"/>
            </w:pPr>
            <w:r/>
            <w:r>
              <w:rPr>
                <w:rFonts w:ascii="宋体" w:hAnsi="宋体" w:eastAsia="宋体"/>
                <w:b/>
                <w:sz w:val="20"/>
              </w:rPr>
              <w:t>选型</w:t>
            </w:r>
          </w:p>
        </w:tc>
      </w:tr>
      <w:tr>
        <w:trPr>
          <w:cantSplit/>
        </w:trPr>
        <w:tc>
          <w:tcPr>
            <w:tcW w:type="dxa" w:w="2112"/>
          </w:tcPr>
          <w:p>
            <w:pPr>
              <w:spacing w:line="300" w:lineRule="auto" w:after="40"/>
            </w:pPr>
            <w:r/>
            <w:r>
              <w:rPr>
                <w:rFonts w:ascii="宋体" w:hAnsi="宋体" w:eastAsia="宋体"/>
                <w:b w:val="0"/>
                <w:sz w:val="20"/>
              </w:rPr>
              <w:t>开发工具</w:t>
            </w:r>
          </w:p>
        </w:tc>
        <w:tc>
          <w:tcPr>
            <w:tcW w:type="dxa" w:w="6528"/>
          </w:tcPr>
          <w:p>
            <w:pPr>
              <w:spacing w:line="300" w:lineRule="auto" w:after="40"/>
            </w:pPr>
            <w:r/>
            <w:r>
              <w:rPr>
                <w:rFonts w:ascii="宋体" w:hAnsi="宋体" w:eastAsia="宋体"/>
                <w:b w:val="0"/>
                <w:sz w:val="20"/>
              </w:rPr>
              <w:t>DevEco Studio</w:t>
            </w:r>
          </w:p>
        </w:tc>
      </w:tr>
      <w:tr>
        <w:trPr>
          <w:cantSplit/>
        </w:trPr>
        <w:tc>
          <w:tcPr>
            <w:tcW w:type="dxa" w:w="2112"/>
          </w:tcPr>
          <w:p>
            <w:pPr>
              <w:spacing w:line="300" w:lineRule="auto" w:after="40"/>
            </w:pPr>
            <w:r/>
            <w:r>
              <w:rPr>
                <w:rFonts w:ascii="宋体" w:hAnsi="宋体" w:eastAsia="宋体"/>
                <w:b w:val="0"/>
                <w:sz w:val="20"/>
              </w:rPr>
              <w:t>操作系统</w:t>
            </w:r>
          </w:p>
        </w:tc>
        <w:tc>
          <w:tcPr>
            <w:tcW w:type="dxa" w:w="6528"/>
          </w:tcPr>
          <w:p>
            <w:pPr>
              <w:spacing w:line="300" w:lineRule="auto" w:after="40"/>
            </w:pPr>
            <w:r/>
            <w:r>
              <w:rPr>
                <w:rFonts w:ascii="宋体" w:hAnsi="宋体" w:eastAsia="宋体"/>
                <w:b w:val="0"/>
                <w:sz w:val="20"/>
              </w:rPr>
              <w:t>OpenHarmony／HarmonyOS</w:t>
            </w:r>
          </w:p>
        </w:tc>
      </w:tr>
      <w:tr>
        <w:trPr>
          <w:cantSplit/>
        </w:trPr>
        <w:tc>
          <w:tcPr>
            <w:tcW w:type="dxa" w:w="2112"/>
          </w:tcPr>
          <w:p>
            <w:pPr>
              <w:spacing w:line="300" w:lineRule="auto" w:after="40"/>
            </w:pPr>
            <w:r/>
            <w:r>
              <w:rPr>
                <w:rFonts w:ascii="宋体" w:hAnsi="宋体" w:eastAsia="宋体"/>
                <w:b w:val="0"/>
                <w:sz w:val="20"/>
              </w:rPr>
              <w:t>API 版本</w:t>
            </w:r>
          </w:p>
        </w:tc>
        <w:tc>
          <w:tcPr>
            <w:tcW w:type="dxa" w:w="6528"/>
          </w:tcPr>
          <w:p>
            <w:pPr>
              <w:spacing w:line="300" w:lineRule="auto" w:after="40"/>
            </w:pPr>
            <w:r/>
            <w:r>
              <w:rPr>
                <w:rFonts w:ascii="宋体" w:hAnsi="宋体" w:eastAsia="宋体"/>
                <w:b w:val="0"/>
                <w:sz w:val="20"/>
              </w:rPr>
              <w:t>compatibleSdkVersion 5.0.0(12)，满足赛题「API 12 及以上」要求</w:t>
            </w:r>
          </w:p>
        </w:tc>
      </w:tr>
      <w:tr>
        <w:trPr>
          <w:cantSplit/>
        </w:trPr>
        <w:tc>
          <w:tcPr>
            <w:tcW w:type="dxa" w:w="2112"/>
          </w:tcPr>
          <w:p>
            <w:pPr>
              <w:spacing w:line="300" w:lineRule="auto" w:after="40"/>
            </w:pPr>
            <w:r/>
            <w:r>
              <w:rPr>
                <w:rFonts w:ascii="宋体" w:hAnsi="宋体" w:eastAsia="宋体"/>
                <w:b w:val="0"/>
                <w:sz w:val="20"/>
              </w:rPr>
              <w:t>开发语言</w:t>
            </w:r>
          </w:p>
        </w:tc>
        <w:tc>
          <w:tcPr>
            <w:tcW w:type="dxa" w:w="6528"/>
          </w:tcPr>
          <w:p>
            <w:pPr>
              <w:spacing w:line="300" w:lineRule="auto" w:after="40"/>
            </w:pPr>
            <w:r/>
            <w:r>
              <w:rPr>
                <w:rFonts w:ascii="宋体" w:hAnsi="宋体" w:eastAsia="宋体"/>
                <w:b w:val="0"/>
                <w:sz w:val="20"/>
              </w:rPr>
              <w:t>ArkTS（ArkUI 声明式开发）</w:t>
            </w:r>
          </w:p>
        </w:tc>
      </w:tr>
      <w:tr>
        <w:trPr>
          <w:cantSplit/>
        </w:trPr>
        <w:tc>
          <w:tcPr>
            <w:tcW w:type="dxa" w:w="2112"/>
          </w:tcPr>
          <w:p>
            <w:pPr>
              <w:spacing w:line="300" w:lineRule="auto" w:after="40"/>
            </w:pPr>
            <w:r/>
            <w:r>
              <w:rPr>
                <w:rFonts w:ascii="宋体" w:hAnsi="宋体" w:eastAsia="宋体"/>
                <w:b w:val="0"/>
                <w:sz w:val="20"/>
              </w:rPr>
              <w:t>硬件要求</w:t>
            </w:r>
          </w:p>
        </w:tc>
        <w:tc>
          <w:tcPr>
            <w:tcW w:type="dxa" w:w="6528"/>
          </w:tcPr>
          <w:p>
            <w:pPr>
              <w:spacing w:line="300" w:lineRule="auto" w:after="40"/>
            </w:pPr>
            <w:r/>
            <w:r>
              <w:rPr>
                <w:rFonts w:ascii="宋体" w:hAnsi="宋体" w:eastAsia="宋体"/>
                <w:b w:val="0"/>
                <w:sz w:val="20"/>
              </w:rPr>
              <w:t>纯北向应用类赛题，使用鸿蒙手机、平板或模拟器即可，无需额外采购硬件</w:t>
            </w:r>
          </w:p>
        </w:tc>
      </w:tr>
    </w:tbl>
    <w:p>
      <w:pPr>
        <w:spacing w:after="40"/>
      </w:pPr>
    </w:p>
    <w:p>
      <w:pPr>
        <w:spacing w:line="312" w:lineRule="auto" w:after="200"/>
        <w:jc w:val="center"/>
      </w:pPr>
      <w:r>
        <w:rPr>
          <w:rFonts w:ascii="宋体" w:hAnsi="宋体" w:eastAsia="宋体"/>
          <w:b w:val="0"/>
          <w:color w:val="606060"/>
          <w:sz w:val="21"/>
        </w:rPr>
        <w:t>表 2  开发与运行环境</w:t>
      </w:r>
    </w:p>
    <w:p>
      <w:r>
        <w:br w:type="page"/>
      </w:r>
    </w:p>
    <w:p>
      <w:pPr>
        <w:spacing w:line="360" w:lineRule="auto" w:before="280" w:after="160"/>
      </w:pPr>
      <w:r>
        <w:rPr>
          <w:rFonts w:ascii="黑体" w:hAnsi="黑体" w:eastAsia="黑体"/>
          <w:b/>
          <w:color w:val="1F9A4E"/>
          <w:sz w:val="32"/>
        </w:rPr>
        <w:t>二、技术架构</w:t>
      </w:r>
    </w:p>
    <w:p>
      <w:pPr>
        <w:spacing w:line="360" w:lineRule="auto" w:before="200" w:after="160"/>
      </w:pPr>
      <w:r>
        <w:rPr>
          <w:rFonts w:ascii="宋体" w:hAnsi="宋体" w:eastAsia="宋体"/>
          <w:b/>
          <w:sz w:val="28"/>
        </w:rPr>
        <w:t>2.1 总体架构</w:t>
      </w:r>
    </w:p>
    <w:p>
      <w:pPr>
        <w:spacing w:line="360" w:lineRule="auto" w:after="120"/>
        <w:ind w:firstLine="480"/>
      </w:pPr>
      <w:r>
        <w:rPr>
          <w:rFonts w:ascii="宋体" w:hAnsi="宋体" w:eastAsia="宋体"/>
          <w:b w:val="0"/>
          <w:sz w:val="24"/>
        </w:rPr>
        <w:t>工程采用四层结构，自上而下依次为表现层、业务层、数据层与能力层：</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1152"/>
          </w:tcPr>
          <w:p>
            <w:pPr>
              <w:spacing w:line="300" w:lineRule="auto" w:after="40"/>
              <w:jc w:val="center"/>
            </w:pPr>
            <w:r/>
            <w:r>
              <w:rPr>
                <w:rFonts w:ascii="宋体" w:hAnsi="宋体" w:eastAsia="宋体"/>
                <w:b/>
                <w:sz w:val="20"/>
              </w:rPr>
              <w:t>层次</w:t>
            </w:r>
          </w:p>
        </w:tc>
        <w:tc>
          <w:tcPr>
            <w:tcW w:type="dxa" w:w="3264"/>
          </w:tcPr>
          <w:p>
            <w:pPr>
              <w:spacing w:line="300" w:lineRule="auto" w:after="40"/>
              <w:jc w:val="center"/>
            </w:pPr>
            <w:r/>
            <w:r>
              <w:rPr>
                <w:rFonts w:ascii="宋体" w:hAnsi="宋体" w:eastAsia="宋体"/>
                <w:b/>
                <w:sz w:val="20"/>
              </w:rPr>
              <w:t>职责</w:t>
            </w:r>
          </w:p>
        </w:tc>
        <w:tc>
          <w:tcPr>
            <w:tcW w:type="dxa" w:w="4224"/>
          </w:tcPr>
          <w:p>
            <w:pPr>
              <w:spacing w:line="300" w:lineRule="auto" w:after="40"/>
              <w:jc w:val="center"/>
            </w:pPr>
            <w:r/>
            <w:r>
              <w:rPr>
                <w:rFonts w:ascii="宋体" w:hAnsi="宋体" w:eastAsia="宋体"/>
                <w:b/>
                <w:sz w:val="20"/>
              </w:rPr>
              <w:t>主要模块</w:t>
            </w:r>
          </w:p>
        </w:tc>
      </w:tr>
      <w:tr>
        <w:trPr>
          <w:cantSplit/>
        </w:trPr>
        <w:tc>
          <w:tcPr>
            <w:tcW w:type="dxa" w:w="1152"/>
          </w:tcPr>
          <w:p>
            <w:pPr>
              <w:spacing w:line="300" w:lineRule="auto" w:after="40"/>
            </w:pPr>
            <w:r/>
            <w:r>
              <w:rPr>
                <w:rFonts w:ascii="宋体" w:hAnsi="宋体" w:eastAsia="宋体"/>
                <w:b w:val="0"/>
                <w:sz w:val="20"/>
              </w:rPr>
              <w:t>表现层</w:t>
            </w:r>
          </w:p>
        </w:tc>
        <w:tc>
          <w:tcPr>
            <w:tcW w:type="dxa" w:w="3264"/>
          </w:tcPr>
          <w:p>
            <w:pPr>
              <w:spacing w:line="300" w:lineRule="auto" w:after="40"/>
            </w:pPr>
            <w:r/>
            <w:r>
              <w:rPr>
                <w:rFonts w:ascii="宋体" w:hAnsi="宋体" w:eastAsia="宋体"/>
                <w:b w:val="0"/>
                <w:sz w:val="20"/>
              </w:rPr>
              <w:t>界面与交互，五个功能页签</w:t>
            </w:r>
          </w:p>
        </w:tc>
        <w:tc>
          <w:tcPr>
            <w:tcW w:type="dxa" w:w="4224"/>
          </w:tcPr>
          <w:p>
            <w:pPr>
              <w:spacing w:line="300" w:lineRule="auto" w:after="40"/>
            </w:pPr>
            <w:r/>
            <w:r>
              <w:rPr>
                <w:rFonts w:ascii="宋体" w:hAnsi="宋体" w:eastAsia="宋体"/>
                <w:b w:val="0"/>
                <w:sz w:val="20"/>
              </w:rPr>
              <w:t>EntryPage、DashboardPage、Charts、PointsPage、KnowledgePage、SmartService、ProfilePage</w:t>
            </w:r>
          </w:p>
        </w:tc>
      </w:tr>
      <w:tr>
        <w:trPr>
          <w:cantSplit/>
        </w:trPr>
        <w:tc>
          <w:tcPr>
            <w:tcW w:type="dxa" w:w="1152"/>
          </w:tcPr>
          <w:p>
            <w:pPr>
              <w:spacing w:line="300" w:lineRule="auto" w:after="40"/>
            </w:pPr>
            <w:r/>
            <w:r>
              <w:rPr>
                <w:rFonts w:ascii="宋体" w:hAnsi="宋体" w:eastAsia="宋体"/>
                <w:b w:val="0"/>
                <w:sz w:val="20"/>
              </w:rPr>
              <w:t>业务层</w:t>
            </w:r>
          </w:p>
        </w:tc>
        <w:tc>
          <w:tcPr>
            <w:tcW w:type="dxa" w:w="3264"/>
          </w:tcPr>
          <w:p>
            <w:pPr>
              <w:spacing w:line="300" w:lineRule="auto" w:after="40"/>
            </w:pPr>
            <w:r/>
            <w:r>
              <w:rPr>
                <w:rFonts w:ascii="宋体" w:hAnsi="宋体" w:eastAsia="宋体"/>
                <w:b w:val="0"/>
                <w:sz w:val="20"/>
              </w:rPr>
              <w:t>领域逻辑：减排计算、积分规则、任务推荐、碳普惠业务流程</w:t>
            </w:r>
          </w:p>
        </w:tc>
        <w:tc>
          <w:tcPr>
            <w:tcW w:type="dxa" w:w="4224"/>
          </w:tcPr>
          <w:p>
            <w:pPr>
              <w:spacing w:line="300" w:lineRule="auto" w:after="40"/>
            </w:pPr>
            <w:r/>
            <w:r>
              <w:rPr>
                <w:rFonts w:ascii="宋体" w:hAnsi="宋体" w:eastAsia="宋体"/>
                <w:b w:val="0"/>
                <w:sz w:val="20"/>
              </w:rPr>
              <w:t>Models、TaskEngine、CarbonInclusiveApi</w:t>
            </w:r>
          </w:p>
        </w:tc>
      </w:tr>
      <w:tr>
        <w:trPr>
          <w:cantSplit/>
        </w:trPr>
        <w:tc>
          <w:tcPr>
            <w:tcW w:type="dxa" w:w="1152"/>
          </w:tcPr>
          <w:p>
            <w:pPr>
              <w:spacing w:line="300" w:lineRule="auto" w:after="40"/>
            </w:pPr>
            <w:r/>
            <w:r>
              <w:rPr>
                <w:rFonts w:ascii="宋体" w:hAnsi="宋体" w:eastAsia="宋体"/>
                <w:b w:val="0"/>
                <w:sz w:val="20"/>
              </w:rPr>
              <w:t>数据层</w:t>
            </w:r>
          </w:p>
        </w:tc>
        <w:tc>
          <w:tcPr>
            <w:tcW w:type="dxa" w:w="3264"/>
          </w:tcPr>
          <w:p>
            <w:pPr>
              <w:spacing w:line="300" w:lineRule="auto" w:after="40"/>
            </w:pPr>
            <w:r/>
            <w:r>
              <w:rPr>
                <w:rFonts w:ascii="宋体" w:hAnsi="宋体" w:eastAsia="宋体"/>
                <w:b w:val="0"/>
                <w:sz w:val="20"/>
              </w:rPr>
              <w:t>统一数据存取与跨设备同步</w:t>
            </w:r>
          </w:p>
        </w:tc>
        <w:tc>
          <w:tcPr>
            <w:tcW w:type="dxa" w:w="4224"/>
          </w:tcPr>
          <w:p>
            <w:pPr>
              <w:spacing w:line="300" w:lineRule="auto" w:after="40"/>
            </w:pPr>
            <w:r/>
            <w:r>
              <w:rPr>
                <w:rFonts w:ascii="宋体" w:hAnsi="宋体" w:eastAsia="宋体"/>
                <w:b w:val="0"/>
                <w:sz w:val="20"/>
              </w:rPr>
              <w:t>CarbonRepository（仓储层）、DistributedStore（分布式 KV 封装）</w:t>
            </w:r>
          </w:p>
        </w:tc>
      </w:tr>
      <w:tr>
        <w:trPr>
          <w:cantSplit/>
        </w:trPr>
        <w:tc>
          <w:tcPr>
            <w:tcW w:type="dxa" w:w="1152"/>
          </w:tcPr>
          <w:p>
            <w:pPr>
              <w:spacing w:line="300" w:lineRule="auto" w:after="40"/>
            </w:pPr>
            <w:r/>
            <w:r>
              <w:rPr>
                <w:rFonts w:ascii="宋体" w:hAnsi="宋体" w:eastAsia="宋体"/>
                <w:b w:val="0"/>
                <w:sz w:val="20"/>
              </w:rPr>
              <w:t>能力层</w:t>
            </w:r>
          </w:p>
        </w:tc>
        <w:tc>
          <w:tcPr>
            <w:tcW w:type="dxa" w:w="3264"/>
          </w:tcPr>
          <w:p>
            <w:pPr>
              <w:spacing w:line="300" w:lineRule="auto" w:after="40"/>
            </w:pPr>
            <w:r/>
            <w:r>
              <w:rPr>
                <w:rFonts w:ascii="宋体" w:hAnsi="宋体" w:eastAsia="宋体"/>
                <w:b w:val="0"/>
                <w:sz w:val="20"/>
              </w:rPr>
              <w:t>鸿蒙系统能力</w:t>
            </w:r>
          </w:p>
        </w:tc>
        <w:tc>
          <w:tcPr>
            <w:tcW w:type="dxa" w:w="4224"/>
          </w:tcPr>
          <w:p>
            <w:pPr>
              <w:spacing w:line="300" w:lineRule="auto" w:after="40"/>
            </w:pPr>
            <w:r/>
            <w:r>
              <w:rPr>
                <w:rFonts w:ascii="宋体" w:hAnsi="宋体" w:eastAsia="宋体"/>
                <w:b w:val="0"/>
                <w:sz w:val="20"/>
              </w:rPr>
              <w:t>distributedKVStore、distributedDeviceManager、MindSpore Lite、Core Vision Kit、ArkUI 组件快照、Image Kit、MediaLibraryKit</w:t>
            </w:r>
          </w:p>
        </w:tc>
      </w:tr>
    </w:tbl>
    <w:p>
      <w:pPr>
        <w:spacing w:after="40"/>
      </w:pPr>
    </w:p>
    <w:p>
      <w:pPr>
        <w:spacing w:line="312" w:lineRule="auto" w:after="200"/>
        <w:jc w:val="center"/>
      </w:pPr>
      <w:r>
        <w:rPr>
          <w:rFonts w:ascii="宋体" w:hAnsi="宋体" w:eastAsia="宋体"/>
          <w:b w:val="0"/>
          <w:color w:val="606060"/>
          <w:sz w:val="21"/>
        </w:rPr>
        <w:t>表 3  分层架构</w:t>
      </w:r>
    </w:p>
    <w:p>
      <w:pPr>
        <w:spacing w:line="360" w:lineRule="auto" w:before="200" w:after="160"/>
      </w:pPr>
      <w:r>
        <w:rPr>
          <w:rFonts w:ascii="宋体" w:hAnsi="宋体" w:eastAsia="宋体"/>
          <w:b/>
          <w:sz w:val="28"/>
        </w:rPr>
        <w:t>2.2 数据层设计（关键决策）</w:t>
      </w:r>
    </w:p>
    <w:p>
      <w:pPr>
        <w:spacing w:line="360" w:lineRule="auto" w:after="120"/>
        <w:ind w:firstLine="480"/>
      </w:pPr>
      <w:r>
        <w:rPr>
          <w:rFonts w:ascii="宋体" w:hAnsi="宋体" w:eastAsia="宋体"/>
          <w:b w:val="0"/>
          <w:sz w:val="24"/>
        </w:rPr>
        <w:t>数据层没有采用关系型数据库（relationalStore），而是直接建立在分布式键值库（distributedKVStore）之上。这是一处影响全局的取舍。</w:t>
      </w:r>
    </w:p>
    <w:p>
      <w:pPr>
        <w:spacing w:line="360" w:lineRule="auto" w:after="120"/>
        <w:ind w:firstLine="480"/>
      </w:pPr>
      <w:r>
        <w:rPr>
          <w:rFonts w:ascii="宋体" w:hAnsi="宋体" w:eastAsia="宋体"/>
          <w:b w:val="0"/>
          <w:sz w:val="24"/>
        </w:rPr>
        <w:t>原因在于创新拓展 1「超级终端多设备同步」需要复用分布式存储能力，而分布式数据服务与关系型数据库是两套互不通用的存储引擎。如果先用关系型数据库建表、后期再接入分布式同步，整个数据层需要重写。因此在项目起步阶段就把存储建立在 KV 之上，使后续的同步功能成为「接入一个已有组件」而不是「重构数据层」。</w:t>
      </w:r>
    </w:p>
    <w:p>
      <w:pPr>
        <w:spacing w:line="360" w:lineRule="auto" w:after="120"/>
        <w:ind w:firstLine="480"/>
      </w:pPr>
      <w:r>
        <w:rPr>
          <w:rFonts w:ascii="宋体" w:hAnsi="宋体" w:eastAsia="宋体"/>
          <w:b w:val="0"/>
          <w:sz w:val="24"/>
        </w:rPr>
        <w:t>键设计如下（同一分布式库内以 carbon: 作为业务前缀，便于与其它模块隔离）：</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2304"/>
          </w:tcPr>
          <w:p>
            <w:pPr>
              <w:spacing w:line="300" w:lineRule="auto" w:after="40"/>
              <w:jc w:val="center"/>
            </w:pPr>
            <w:r/>
            <w:r>
              <w:rPr>
                <w:rFonts w:ascii="宋体" w:hAnsi="宋体" w:eastAsia="宋体"/>
                <w:b/>
                <w:sz w:val="20"/>
              </w:rPr>
              <w:t>键</w:t>
            </w:r>
          </w:p>
        </w:tc>
        <w:tc>
          <w:tcPr>
            <w:tcW w:type="dxa" w:w="2880"/>
          </w:tcPr>
          <w:p>
            <w:pPr>
              <w:spacing w:line="300" w:lineRule="auto" w:after="40"/>
              <w:jc w:val="center"/>
            </w:pPr>
            <w:r/>
            <w:r>
              <w:rPr>
                <w:rFonts w:ascii="宋体" w:hAnsi="宋体" w:eastAsia="宋体"/>
                <w:b/>
                <w:sz w:val="20"/>
              </w:rPr>
              <w:t>值结构</w:t>
            </w:r>
          </w:p>
        </w:tc>
        <w:tc>
          <w:tcPr>
            <w:tcW w:type="dxa" w:w="3456"/>
          </w:tcPr>
          <w:p>
            <w:pPr>
              <w:spacing w:line="300" w:lineRule="auto" w:after="40"/>
              <w:jc w:val="center"/>
            </w:pPr>
            <w:r/>
            <w:r>
              <w:rPr>
                <w:rFonts w:ascii="宋体" w:hAnsi="宋体" w:eastAsia="宋体"/>
                <w:b/>
                <w:sz w:val="20"/>
              </w:rPr>
              <w:t>说明</w:t>
            </w:r>
          </w:p>
        </w:tc>
      </w:tr>
      <w:tr>
        <w:trPr>
          <w:cantSplit/>
        </w:trPr>
        <w:tc>
          <w:tcPr>
            <w:tcW w:type="dxa" w:w="2304"/>
          </w:tcPr>
          <w:p>
            <w:pPr>
              <w:spacing w:line="300" w:lineRule="auto" w:after="40"/>
            </w:pPr>
            <w:r/>
            <w:r>
              <w:rPr>
                <w:rFonts w:ascii="宋体" w:hAnsi="宋体" w:eastAsia="宋体"/>
                <w:b w:val="0"/>
                <w:sz w:val="20"/>
              </w:rPr>
              <w:t>behavior:&lt;id&gt;</w:t>
            </w:r>
          </w:p>
        </w:tc>
        <w:tc>
          <w:tcPr>
            <w:tcW w:type="dxa" w:w="2880"/>
          </w:tcPr>
          <w:p>
            <w:pPr>
              <w:spacing w:line="300" w:lineRule="auto" w:after="40"/>
            </w:pPr>
            <w:r/>
            <w:r>
              <w:rPr>
                <w:rFonts w:ascii="宋体" w:hAnsi="宋体" w:eastAsia="宋体"/>
                <w:b w:val="0"/>
                <w:sz w:val="20"/>
              </w:rPr>
              <w:t>BehaviorRecord 的 JSON</w:t>
            </w:r>
          </w:p>
        </w:tc>
        <w:tc>
          <w:tcPr>
            <w:tcW w:type="dxa" w:w="3456"/>
          </w:tcPr>
          <w:p>
            <w:pPr>
              <w:spacing w:line="300" w:lineRule="auto" w:after="40"/>
            </w:pPr>
            <w:r/>
            <w:r>
              <w:rPr>
                <w:rFonts w:ascii="宋体" w:hAnsi="宋体" w:eastAsia="宋体"/>
                <w:b w:val="0"/>
                <w:sz w:val="20"/>
              </w:rPr>
              <w:t>一条低碳行为记录；id 由时间戳、进程内序号与随机数共同保证唯一</w:t>
            </w:r>
          </w:p>
        </w:tc>
      </w:tr>
      <w:tr>
        <w:trPr>
          <w:cantSplit/>
        </w:trPr>
        <w:tc>
          <w:tcPr>
            <w:tcW w:type="dxa" w:w="2304"/>
          </w:tcPr>
          <w:p>
            <w:pPr>
              <w:spacing w:line="300" w:lineRule="auto" w:after="40"/>
            </w:pPr>
            <w:r/>
            <w:r>
              <w:rPr>
                <w:rFonts w:ascii="宋体" w:hAnsi="宋体" w:eastAsia="宋体"/>
                <w:b w:val="0"/>
                <w:sz w:val="20"/>
              </w:rPr>
              <w:t>points:&lt;id&gt;</w:t>
            </w:r>
          </w:p>
        </w:tc>
        <w:tc>
          <w:tcPr>
            <w:tcW w:type="dxa" w:w="2880"/>
          </w:tcPr>
          <w:p>
            <w:pPr>
              <w:spacing w:line="300" w:lineRule="auto" w:after="40"/>
            </w:pPr>
            <w:r/>
            <w:r>
              <w:rPr>
                <w:rFonts w:ascii="宋体" w:hAnsi="宋体" w:eastAsia="宋体"/>
                <w:b w:val="0"/>
                <w:sz w:val="20"/>
              </w:rPr>
              <w:t>PointsEntry 的 JSON</w:t>
            </w:r>
          </w:p>
        </w:tc>
        <w:tc>
          <w:tcPr>
            <w:tcW w:type="dxa" w:w="3456"/>
          </w:tcPr>
          <w:p>
            <w:pPr>
              <w:spacing w:line="300" w:lineRule="auto" w:after="40"/>
            </w:pPr>
            <w:r/>
            <w:r>
              <w:rPr>
                <w:rFonts w:ascii="宋体" w:hAnsi="宋体" w:eastAsia="宋体"/>
                <w:b w:val="0"/>
                <w:sz w:val="20"/>
              </w:rPr>
              <w:t>一条积分流水，只增不改，天然免冲突</w:t>
            </w:r>
          </w:p>
        </w:tc>
      </w:tr>
      <w:tr>
        <w:trPr>
          <w:cantSplit/>
        </w:trPr>
        <w:tc>
          <w:tcPr>
            <w:tcW w:type="dxa" w:w="2304"/>
          </w:tcPr>
          <w:p>
            <w:pPr>
              <w:spacing w:line="300" w:lineRule="auto" w:after="40"/>
            </w:pPr>
            <w:r/>
            <w:r>
              <w:rPr>
                <w:rFonts w:ascii="宋体" w:hAnsi="宋体" w:eastAsia="宋体"/>
                <w:b w:val="0"/>
                <w:sz w:val="20"/>
              </w:rPr>
              <w:t>profile</w:t>
            </w:r>
          </w:p>
        </w:tc>
        <w:tc>
          <w:tcPr>
            <w:tcW w:type="dxa" w:w="2880"/>
          </w:tcPr>
          <w:p>
            <w:pPr>
              <w:spacing w:line="300" w:lineRule="auto" w:after="40"/>
            </w:pPr>
            <w:r/>
            <w:r>
              <w:rPr>
                <w:rFonts w:ascii="宋体" w:hAnsi="宋体" w:eastAsia="宋体"/>
                <w:b w:val="0"/>
                <w:sz w:val="20"/>
              </w:rPr>
              <w:t>Profile 的 JSON</w:t>
            </w:r>
          </w:p>
        </w:tc>
        <w:tc>
          <w:tcPr>
            <w:tcW w:type="dxa" w:w="3456"/>
          </w:tcPr>
          <w:p>
            <w:pPr>
              <w:spacing w:line="300" w:lineRule="auto" w:after="40"/>
            </w:pPr>
            <w:r/>
            <w:r>
              <w:rPr>
                <w:rFonts w:ascii="宋体" w:hAnsi="宋体" w:eastAsia="宋体"/>
                <w:b w:val="0"/>
                <w:sz w:val="20"/>
              </w:rPr>
              <w:t>用户档案（单例）</w:t>
            </w:r>
          </w:p>
        </w:tc>
      </w:tr>
      <w:tr>
        <w:trPr>
          <w:cantSplit/>
        </w:trPr>
        <w:tc>
          <w:tcPr>
            <w:tcW w:type="dxa" w:w="2304"/>
          </w:tcPr>
          <w:p>
            <w:pPr>
              <w:spacing w:line="300" w:lineRule="auto" w:after="40"/>
            </w:pPr>
            <w:r/>
            <w:r>
              <w:rPr>
                <w:rFonts w:ascii="宋体" w:hAnsi="宋体" w:eastAsia="宋体"/>
                <w:b w:val="0"/>
                <w:sz w:val="20"/>
              </w:rPr>
              <w:t>platform:account</w:t>
            </w:r>
          </w:p>
        </w:tc>
        <w:tc>
          <w:tcPr>
            <w:tcW w:type="dxa" w:w="2880"/>
          </w:tcPr>
          <w:p>
            <w:pPr>
              <w:spacing w:line="300" w:lineRule="auto" w:after="40"/>
            </w:pPr>
            <w:r/>
            <w:r>
              <w:rPr>
                <w:rFonts w:ascii="宋体" w:hAnsi="宋体" w:eastAsia="宋体"/>
                <w:b w:val="0"/>
                <w:sz w:val="20"/>
              </w:rPr>
              <w:t>PlatformAccount 的 JSON</w:t>
            </w:r>
          </w:p>
        </w:tc>
        <w:tc>
          <w:tcPr>
            <w:tcW w:type="dxa" w:w="3456"/>
          </w:tcPr>
          <w:p>
            <w:pPr>
              <w:spacing w:line="300" w:lineRule="auto" w:after="40"/>
            </w:pPr>
            <w:r/>
            <w:r>
              <w:rPr>
                <w:rFonts w:ascii="宋体" w:hAnsi="宋体" w:eastAsia="宋体"/>
                <w:b w:val="0"/>
                <w:sz w:val="20"/>
              </w:rPr>
              <w:t>碳普惠平台账户（创新拓展 3）</w:t>
            </w:r>
          </w:p>
        </w:tc>
      </w:tr>
      <w:tr>
        <w:trPr>
          <w:cantSplit/>
        </w:trPr>
        <w:tc>
          <w:tcPr>
            <w:tcW w:type="dxa" w:w="2304"/>
          </w:tcPr>
          <w:p>
            <w:pPr>
              <w:spacing w:line="300" w:lineRule="auto" w:after="40"/>
            </w:pPr>
            <w:r/>
            <w:r>
              <w:rPr>
                <w:rFonts w:ascii="宋体" w:hAnsi="宋体" w:eastAsia="宋体"/>
                <w:b w:val="0"/>
                <w:sz w:val="20"/>
              </w:rPr>
              <w:t>platform:order:&lt;id&gt;</w:t>
            </w:r>
          </w:p>
        </w:tc>
        <w:tc>
          <w:tcPr>
            <w:tcW w:type="dxa" w:w="2880"/>
          </w:tcPr>
          <w:p>
            <w:pPr>
              <w:spacing w:line="300" w:lineRule="auto" w:after="40"/>
            </w:pPr>
            <w:r/>
            <w:r>
              <w:rPr>
                <w:rFonts w:ascii="宋体" w:hAnsi="宋体" w:eastAsia="宋体"/>
                <w:b w:val="0"/>
                <w:sz w:val="20"/>
              </w:rPr>
              <w:t>ExchangeOrder 的 JSON</w:t>
            </w:r>
          </w:p>
        </w:tc>
        <w:tc>
          <w:tcPr>
            <w:tcW w:type="dxa" w:w="3456"/>
          </w:tcPr>
          <w:p>
            <w:pPr>
              <w:spacing w:line="300" w:lineRule="auto" w:after="40"/>
            </w:pPr>
            <w:r/>
            <w:r>
              <w:rPr>
                <w:rFonts w:ascii="宋体" w:hAnsi="宋体" w:eastAsia="宋体"/>
                <w:b w:val="0"/>
                <w:sz w:val="20"/>
              </w:rPr>
              <w:t>权益兑换订单</w:t>
            </w:r>
          </w:p>
        </w:tc>
      </w:tr>
    </w:tbl>
    <w:p>
      <w:pPr>
        <w:spacing w:after="40"/>
      </w:pPr>
    </w:p>
    <w:p>
      <w:pPr>
        <w:spacing w:line="312" w:lineRule="auto" w:after="200"/>
        <w:jc w:val="center"/>
      </w:pPr>
      <w:r>
        <w:rPr>
          <w:rFonts w:ascii="宋体" w:hAnsi="宋体" w:eastAsia="宋体"/>
          <w:b w:val="0"/>
          <w:color w:val="606060"/>
          <w:sz w:val="21"/>
        </w:rPr>
        <w:t>表 4  分布式 KV 键设计</w:t>
      </w:r>
    </w:p>
    <w:p>
      <w:pPr>
        <w:spacing w:line="360" w:lineRule="auto" w:after="120"/>
        <w:ind w:firstLine="480"/>
      </w:pPr>
      <w:r>
        <w:rPr>
          <w:rFonts w:ascii="宋体" w:hAnsi="宋体" w:eastAsia="宋体"/>
          <w:b w:val="0"/>
          <w:sz w:val="24"/>
        </w:rPr>
        <w:t>查询策略：KV 没有 where 子句，本作品采用「取全量后内存排序筛选」。个人级碳数据的量级为每天数条至数十条，远未达到需要索引的程度，因此没有为查询性能引入额外复杂度。</w:t>
      </w:r>
    </w:p>
    <w:p>
      <w:pPr>
        <w:spacing w:line="360" w:lineRule="auto" w:before="200" w:after="160"/>
      </w:pPr>
      <w:r>
        <w:rPr>
          <w:rFonts w:ascii="宋体" w:hAnsi="宋体" w:eastAsia="宋体"/>
          <w:b/>
          <w:sz w:val="28"/>
        </w:rPr>
        <w:t>2.3 冲突处理与最终一致性</w:t>
      </w:r>
    </w:p>
    <w:p>
      <w:pPr>
        <w:spacing w:line="360" w:lineRule="auto" w:after="120"/>
        <w:ind w:firstLine="480"/>
      </w:pPr>
      <w:r>
        <w:rPr>
          <w:rFonts w:ascii="宋体" w:hAnsi="宋体" w:eastAsia="宋体"/>
          <w:b w:val="0"/>
          <w:sz w:val="24"/>
        </w:rPr>
        <w:t>所有写入都以「信封」形式落库，结构为 { payload, ts, origin }，其中 payload 是业务负载、ts 是写入时间戳、origin 是写入方设备标识。当多设备同时离线编辑产生冲突时，以时间戳更新的一方为准，并在本地维护影子副本用于冲突判定，冲突次数会在同步面板中如实展示。这对应赛题所要求的「以最新时间戳的版本为准，确保数据最终一致性」。</w:t>
      </w:r>
    </w:p>
    <w:p>
      <w:r>
        <w:br w:type="page"/>
      </w:r>
    </w:p>
    <w:p>
      <w:pPr>
        <w:spacing w:line="360" w:lineRule="auto" w:before="280" w:after="160"/>
      </w:pPr>
      <w:r>
        <w:rPr>
          <w:rFonts w:ascii="黑体" w:hAnsi="黑体" w:eastAsia="黑体"/>
          <w:b/>
          <w:color w:val="1F9A4E"/>
          <w:sz w:val="32"/>
        </w:rPr>
        <w:t>三、功能实现逻辑</w:t>
      </w:r>
    </w:p>
    <w:p>
      <w:pPr>
        <w:spacing w:line="360" w:lineRule="auto" w:before="200" w:after="160"/>
      </w:pPr>
      <w:r>
        <w:rPr>
          <w:rFonts w:ascii="宋体" w:hAnsi="宋体" w:eastAsia="宋体"/>
          <w:b/>
          <w:sz w:val="28"/>
        </w:rPr>
        <w:t>3.1 主要功能 1：低碳行为核算</w:t>
      </w:r>
    </w:p>
    <w:p>
      <w:pPr>
        <w:spacing w:line="360" w:lineRule="auto" w:after="120"/>
        <w:ind w:firstLine="480"/>
      </w:pPr>
      <w:r>
        <w:rPr>
          <w:rFonts w:ascii="宋体" w:hAnsi="宋体" w:eastAsia="宋体"/>
          <w:b w:val="0"/>
          <w:sz w:val="24"/>
        </w:rPr>
        <w:t>录入流程为：选择类目 → 选择具体行为 → 填写数量 → 选择日期 → 保存。保存时按「减排量 ＝ 活动量 × 因子」计算，其中因子已经是对基准情景的差值（详见第五章）。计算结果实时回显，并同步发放碳积分。</w:t>
      </w:r>
    </w:p>
    <w:p>
      <w:pPr>
        <w:spacing w:line="360" w:lineRule="auto" w:after="120"/>
        <w:ind w:firstLine="480"/>
      </w:pPr>
      <w:r>
        <w:rPr>
          <w:rFonts w:ascii="宋体" w:hAnsi="宋体" w:eastAsia="宋体"/>
          <w:b w:val="0"/>
          <w:sz w:val="24"/>
        </w:rPr>
        <w:t>内置 14 条因子，覆盖出行、节水节电、旧物回收、光盘行动四个类目。每条因子在界面上展示三个信息：因子数值与单位、基准情景、数据出处，用户可以随时核对。</w:t>
      </w:r>
    </w:p>
    <w:tbl>
      <w:tblPr>
        <w:tblW w:type="auto" w:w="0"/>
        <w:jc w:val="center"/>
        <w:tblLayout w:type="fixed"/>
        <w:tblLook w:firstColumn="1" w:firstRow="1" w:lastColumn="0" w:lastRow="0" w:noHBand="0" w:noVBand="1" w:val="04A0"/>
      </w:tblPr>
      <w:tblGrid>
        <w:gridCol w:w="4320"/>
        <w:gridCol w:w="4320"/>
      </w:tblGrid>
      <w:tr>
        <w:trPr>
          <w:cantSplit/>
        </w:trPr>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1" name="Picture 1"/>
                  <wp:cNvGraphicFramePr>
                    <a:graphicFrameLocks noChangeAspect="1"/>
                  </wp:cNvGraphicFramePr>
                  <a:graphic>
                    <a:graphicData uri="http://schemas.openxmlformats.org/drawingml/2006/picture">
                      <pic:pic>
                        <pic:nvPicPr>
                          <pic:cNvPr id="0" name="01-记一笔-初始.jpeg"/>
                          <pic:cNvPicPr/>
                        </pic:nvPicPr>
                        <pic:blipFill>
                          <a:blip r:embed="rId9"/>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1  记一笔首页：渐变英雄区（累计减排 14.62 kg CO₂e）＋ 今日目标环 ＋ 端侧 AI 识图入口 ＋ 四个类目卡</w:t>
            </w:r>
          </w:p>
        </w:tc>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2" name="Picture 2"/>
                  <wp:cNvGraphicFramePr>
                    <a:graphicFrameLocks noChangeAspect="1"/>
                  </wp:cNvGraphicFramePr>
                  <a:graphic>
                    <a:graphicData uri="http://schemas.openxmlformats.org/drawingml/2006/picture">
                      <pic:pic>
                        <pic:nvPicPr>
                          <pic:cNvPr id="0" name="02-记一笔-最近记录.jpeg"/>
                          <pic:cNvPicPr/>
                        </pic:nvPicPr>
                        <pic:blipFill>
                          <a:blip r:embed="rId10"/>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2  录入表单与最近记录：填写数量与日期后保存，记录按类目色块与减排量列出</w:t>
            </w:r>
          </w:p>
        </w:tc>
      </w:tr>
    </w:tbl>
    <w:p>
      <w:pPr>
        <w:spacing w:line="360" w:lineRule="auto" w:before="200" w:after="160"/>
      </w:pPr>
      <w:r>
        <w:rPr>
          <w:rFonts w:ascii="宋体" w:hAnsi="宋体" w:eastAsia="宋体"/>
          <w:b/>
          <w:sz w:val="28"/>
        </w:rPr>
        <w:t>3.2 主要功能 2：数据可视化看板</w:t>
      </w:r>
    </w:p>
    <w:p>
      <w:pPr>
        <w:spacing w:line="360" w:lineRule="auto" w:after="120"/>
        <w:ind w:firstLine="480"/>
      </w:pPr>
      <w:r>
        <w:rPr>
          <w:rFonts w:ascii="宋体" w:hAnsi="宋体" w:eastAsia="宋体"/>
          <w:b w:val="0"/>
          <w:sz w:val="24"/>
        </w:rPr>
        <w:t>看板支持日、周、月、年四种统计粒度切换，并同时提供四种可视化表达：</w:t>
      </w:r>
    </w:p>
    <w:p>
      <w:pPr>
        <w:pStyle w:val="ListBullet"/>
        <w:spacing w:line="360" w:lineRule="auto" w:after="60"/>
      </w:pPr>
      <w:r>
        <w:rPr>
          <w:rFonts w:ascii="宋体" w:hAnsi="宋体" w:eastAsia="宋体"/>
          <w:b w:val="0"/>
          <w:sz w:val="24"/>
        </w:rPr>
        <w:t>折线图：展示减排量随时间的变化趋势，采用平滑曲线与渐变面积填充；</w:t>
      </w:r>
      <w:r>
        <w:rPr>
          <w:rFonts w:ascii="宋体" w:hAnsi="宋体" w:eastAsia="宋体"/>
          <w:b/>
          <w:sz w:val="24"/>
        </w:rPr>
        <w:t>本期数据用实线、上一周期用灰色虚线</w:t>
      </w:r>
      <w:r>
        <w:rPr>
          <w:rFonts w:ascii="宋体" w:hAnsi="宋体" w:eastAsia="宋体"/>
          <w:b w:val="0"/>
          <w:sz w:val="24"/>
        </w:rPr>
        <w:t>——这条「上期幽灵线」让「这周比上周好还是差」不需要再靠记忆判断。</w:t>
      </w:r>
    </w:p>
    <w:p>
      <w:pPr>
        <w:pStyle w:val="ListBullet"/>
        <w:spacing w:line="360" w:lineRule="auto" w:after="60"/>
      </w:pPr>
      <w:r>
        <w:rPr>
          <w:rFonts w:ascii="宋体" w:hAnsi="宋体" w:eastAsia="宋体"/>
          <w:b w:val="0"/>
          <w:sz w:val="24"/>
        </w:rPr>
        <w:t>柱状图：展示四个类目之间的减排量对比，柱体带竖向渐变，</w:t>
      </w:r>
      <w:r>
        <w:rPr>
          <w:rFonts w:ascii="宋体" w:hAnsi="宋体" w:eastAsia="宋体"/>
          <w:b/>
          <w:sz w:val="24"/>
        </w:rPr>
        <w:t>柱顶直接标注数值</w:t>
      </w:r>
      <w:r>
        <w:rPr>
          <w:rFonts w:ascii="宋体" w:hAnsi="宋体" w:eastAsia="宋体"/>
          <w:b w:val="0"/>
          <w:sz w:val="24"/>
        </w:rPr>
        <w:t>。</w:t>
      </w:r>
    </w:p>
    <w:p>
      <w:pPr>
        <w:pStyle w:val="ListBullet"/>
        <w:spacing w:line="360" w:lineRule="auto" w:after="60"/>
      </w:pPr>
      <w:r>
        <w:rPr>
          <w:rFonts w:ascii="宋体" w:hAnsi="宋体" w:eastAsia="宋体"/>
          <w:b w:val="0"/>
          <w:sz w:val="24"/>
        </w:rPr>
        <w:t>环形图：展示各类目的占比构成，</w:t>
      </w:r>
      <w:r>
        <w:rPr>
          <w:rFonts w:ascii="宋体" w:hAnsi="宋体" w:eastAsia="宋体"/>
          <w:b/>
          <w:sz w:val="24"/>
        </w:rPr>
        <w:t>中心显示累计总量</w:t>
      </w:r>
      <w:r>
        <w:rPr>
          <w:rFonts w:ascii="宋体" w:hAnsi="宋体" w:eastAsia="宋体"/>
          <w:b w:val="0"/>
          <w:sz w:val="24"/>
        </w:rPr>
        <w:t>；图例改用「色点 ＋ 百分比 ＋ 进度条」的原生样式，不再依赖悬浮提示。</w:t>
      </w:r>
    </w:p>
    <w:p>
      <w:pPr>
        <w:pStyle w:val="ListBullet"/>
        <w:spacing w:line="360" w:lineRule="auto" w:after="60"/>
      </w:pPr>
      <w:r>
        <w:rPr>
          <w:rFonts w:ascii="宋体" w:hAnsi="宋体" w:eastAsia="宋体"/>
          <w:b w:val="0"/>
          <w:sz w:val="24"/>
        </w:rPr>
        <w:t>减排日历热力图（本次新增）：最近 12 周 × 7 天的格子，按当日减排量分四档着色，并给出连续记录天数。</w:t>
      </w:r>
    </w:p>
    <w:p>
      <w:pPr>
        <w:spacing w:line="360" w:lineRule="auto" w:after="120"/>
        <w:ind w:firstLine="480"/>
      </w:pPr>
      <w:r>
        <w:rPr>
          <w:rFonts w:ascii="宋体" w:hAnsi="宋体" w:eastAsia="宋体"/>
          <w:b w:val="0"/>
          <w:sz w:val="24"/>
        </w:rPr>
        <w:t>四条数据表达共用同一份数据源与同一套类目配色，因此读图时不需要在不同图之间重新建立对应关系。图表基于 OpenHarmony-TPC 官方图表组件库实现，该库为纯 ArkTS 源码形式，可完整离线运行，不依赖任何网络资源。横轴标签经过格式化处理，折线图显示日期、柱状图显示类目名称，而不是原始索引值。</w:t>
      </w:r>
    </w:p>
    <w:p>
      <w:pPr>
        <w:spacing w:line="360" w:lineRule="auto" w:after="120"/>
        <w:ind w:firstLine="480"/>
      </w:pPr>
      <w:r>
        <w:rPr>
          <w:rFonts w:ascii="宋体" w:hAnsi="宋体" w:eastAsia="宋体"/>
          <w:b/>
          <w:sz w:val="24"/>
        </w:rPr>
        <w:t>本次修复的一处显示缺陷</w:t>
      </w:r>
      <w:r>
        <w:rPr>
          <w:rFonts w:ascii="宋体" w:hAnsi="宋体" w:eastAsia="宋体"/>
          <w:b w:val="0"/>
          <w:sz w:val="24"/>
        </w:rPr>
        <w:t>：改造前环形图的百分比曾出现 2841% 这类明显异常值。原因是百分比被重复换算了一次（先按总量取百分比，又在渲染时乘了 100）。修复后中心显示总量、图例显示正确的百分比与进度条，四类合计 100%。这个问题也写进了功能测试用例（见表 8）。</w:t>
      </w:r>
    </w:p>
    <w:tbl>
      <w:tblPr>
        <w:tblW w:type="auto" w:w="0"/>
        <w:jc w:val="center"/>
        <w:tblLayout w:type="fixed"/>
        <w:tblLook w:firstColumn="1" w:firstRow="1" w:lastColumn="0" w:lastRow="0" w:noHBand="0" w:noVBand="1" w:val="04A0"/>
      </w:tblPr>
      <w:tblGrid>
        <w:gridCol w:w="2880"/>
        <w:gridCol w:w="2880"/>
        <w:gridCol w:w="2880"/>
      </w:tblGrid>
      <w:tr>
        <w:trPr>
          <w:cantSplit/>
        </w:trPr>
        <w:tc>
          <w:tcPr>
            <w:tcW w:type="dxa" w:w="2880"/>
            <w:vAlign w:val="top"/>
          </w:tcPr>
          <w:p>
            <w:pPr>
              <w:spacing w:line="240" w:lineRule="auto" w:after="60"/>
              <w:jc w:val="center"/>
            </w:pPr>
            <w:r>
              <w:drawing>
                <wp:inline xmlns:a="http://schemas.openxmlformats.org/drawingml/2006/main" xmlns:pic="http://schemas.openxmlformats.org/drawingml/2006/picture">
                  <wp:extent cx="1691640" cy="2860410"/>
                  <wp:docPr id="3" name="Picture 3"/>
                  <wp:cNvGraphicFramePr>
                    <a:graphicFrameLocks noChangeAspect="1"/>
                  </wp:cNvGraphicFramePr>
                  <a:graphic>
                    <a:graphicData uri="http://schemas.openxmlformats.org/drawingml/2006/picture">
                      <pic:pic>
                        <pic:nvPicPr>
                          <pic:cNvPr id="0" name="03-看板-总览.jpeg"/>
                          <pic:cNvPicPr/>
                        </pic:nvPicPr>
                        <pic:blipFill>
                          <a:blip r:embed="rId11"/>
                          <a:stretch>
                            <a:fillRect/>
                          </a:stretch>
                        </pic:blipFill>
                        <pic:spPr>
                          <a:xfrm>
                            <a:off x="0" y="0"/>
                            <a:ext cx="1691640" cy="2860410"/>
                          </a:xfrm>
                          <a:prstGeom prst="rect"/>
                        </pic:spPr>
                      </pic:pic>
                    </a:graphicData>
                  </a:graphic>
                </wp:inline>
              </w:drawing>
            </w:r>
          </w:p>
          <w:p>
            <w:pPr>
              <w:spacing w:line="252" w:lineRule="auto" w:after="200"/>
              <w:jc w:val="center"/>
            </w:pPr>
            <w:r>
              <w:rPr>
                <w:rFonts w:ascii="宋体" w:hAnsi="宋体" w:eastAsia="宋体"/>
                <w:b w:val="0"/>
                <w:color w:val="606060"/>
                <w:sz w:val="19"/>
              </w:rPr>
              <w:t>图 3  看板总览：深墨绿英雄区 ＋「我的年度碳迹」入口 ＋ 统计粒度 ＋ 减排日历</w:t>
            </w:r>
          </w:p>
        </w:tc>
        <w:tc>
          <w:tcPr>
            <w:tcW w:type="dxa" w:w="2880"/>
            <w:vAlign w:val="top"/>
          </w:tcPr>
          <w:p>
            <w:pPr>
              <w:spacing w:line="240" w:lineRule="auto" w:after="60"/>
              <w:jc w:val="center"/>
            </w:pPr>
            <w:r>
              <w:drawing>
                <wp:inline xmlns:a="http://schemas.openxmlformats.org/drawingml/2006/main" xmlns:pic="http://schemas.openxmlformats.org/drawingml/2006/picture">
                  <wp:extent cx="1691640" cy="2860410"/>
                  <wp:docPr id="4" name="Picture 4"/>
                  <wp:cNvGraphicFramePr>
                    <a:graphicFrameLocks noChangeAspect="1"/>
                  </wp:cNvGraphicFramePr>
                  <a:graphic>
                    <a:graphicData uri="http://schemas.openxmlformats.org/drawingml/2006/picture">
                      <pic:pic>
                        <pic:nvPicPr>
                          <pic:cNvPr id="0" name="04-看板-减排日历.jpeg"/>
                          <pic:cNvPicPr/>
                        </pic:nvPicPr>
                        <pic:blipFill>
                          <a:blip r:embed="rId12"/>
                          <a:stretch>
                            <a:fillRect/>
                          </a:stretch>
                        </pic:blipFill>
                        <pic:spPr>
                          <a:xfrm>
                            <a:off x="0" y="0"/>
                            <a:ext cx="1691640" cy="2860410"/>
                          </a:xfrm>
                          <a:prstGeom prst="rect"/>
                        </pic:spPr>
                      </pic:pic>
                    </a:graphicData>
                  </a:graphic>
                </wp:inline>
              </w:drawing>
            </w:r>
          </w:p>
          <w:p>
            <w:pPr>
              <w:spacing w:line="252" w:lineRule="auto" w:after="200"/>
              <w:jc w:val="center"/>
            </w:pPr>
            <w:r>
              <w:rPr>
                <w:rFonts w:ascii="宋体" w:hAnsi="宋体" w:eastAsia="宋体"/>
                <w:b w:val="0"/>
                <w:color w:val="606060"/>
                <w:sz w:val="19"/>
              </w:rPr>
              <w:t>图 4  减排趋势（本周）：实线为本期，灰色虚线为「上期」对比</w:t>
            </w:r>
          </w:p>
        </w:tc>
        <w:tc>
          <w:tcPr>
            <w:tcW w:type="dxa" w:w="2880"/>
            <w:vAlign w:val="top"/>
          </w:tcPr>
          <w:p>
            <w:pPr>
              <w:spacing w:line="240" w:lineRule="auto" w:after="60"/>
              <w:jc w:val="center"/>
            </w:pPr>
            <w:r>
              <w:drawing>
                <wp:inline xmlns:a="http://schemas.openxmlformats.org/drawingml/2006/main" xmlns:pic="http://schemas.openxmlformats.org/drawingml/2006/picture">
                  <wp:extent cx="1691640" cy="2860410"/>
                  <wp:docPr id="5" name="Picture 5"/>
                  <wp:cNvGraphicFramePr>
                    <a:graphicFrameLocks noChangeAspect="1"/>
                  </wp:cNvGraphicFramePr>
                  <a:graphic>
                    <a:graphicData uri="http://schemas.openxmlformats.org/drawingml/2006/picture">
                      <pic:pic>
                        <pic:nvPicPr>
                          <pic:cNvPr id="0" name="05-看板-折线趋势.jpeg"/>
                          <pic:cNvPicPr/>
                        </pic:nvPicPr>
                        <pic:blipFill>
                          <a:blip r:embed="rId13"/>
                          <a:stretch>
                            <a:fillRect/>
                          </a:stretch>
                        </pic:blipFill>
                        <pic:spPr>
                          <a:xfrm>
                            <a:off x="0" y="0"/>
                            <a:ext cx="1691640" cy="2860410"/>
                          </a:xfrm>
                          <a:prstGeom prst="rect"/>
                        </pic:spPr>
                      </pic:pic>
                    </a:graphicData>
                  </a:graphic>
                </wp:inline>
              </w:drawing>
            </w:r>
          </w:p>
          <w:p>
            <w:pPr>
              <w:spacing w:line="252" w:lineRule="auto" w:after="200"/>
              <w:jc w:val="center"/>
            </w:pPr>
            <w:r>
              <w:rPr>
                <w:rFonts w:ascii="宋体" w:hAnsi="宋体" w:eastAsia="宋体"/>
                <w:b w:val="0"/>
                <w:color w:val="606060"/>
                <w:sz w:val="19"/>
              </w:rPr>
              <w:t>图 5  分类减排对比与分类占比：柱顶数值、环形图中心总量与原生图例</w:t>
            </w:r>
          </w:p>
        </w:tc>
      </w:tr>
    </w:tbl>
    <w:p>
      <w:pPr>
        <w:spacing w:line="240" w:lineRule="auto" w:before="120" w:after="80"/>
        <w:jc w:val="center"/>
      </w:pPr>
      <w:r>
        <w:drawing>
          <wp:inline xmlns:a="http://schemas.openxmlformats.org/drawingml/2006/main" xmlns:pic="http://schemas.openxmlformats.org/drawingml/2006/picture">
            <wp:extent cx="4206240" cy="1957258"/>
            <wp:docPr id="6" name="Picture 6"/>
            <wp:cNvGraphicFramePr>
              <a:graphicFrameLocks noChangeAspect="1"/>
            </wp:cNvGraphicFramePr>
            <a:graphic>
              <a:graphicData uri="http://schemas.openxmlformats.org/drawingml/2006/picture">
                <pic:pic>
                  <pic:nvPicPr>
                    <pic:cNvPr id="0" name="03-看板-总览-crop-40_1395_1280_1972.png"/>
                    <pic:cNvPicPr/>
                  </pic:nvPicPr>
                  <pic:blipFill>
                    <a:blip r:embed="rId14"/>
                    <a:stretch>
                      <a:fillRect/>
                    </a:stretch>
                  </pic:blipFill>
                  <pic:spPr>
                    <a:xfrm>
                      <a:off x="0" y="0"/>
                      <a:ext cx="4206240" cy="1957258"/>
                    </a:xfrm>
                    <a:prstGeom prst="rect"/>
                  </pic:spPr>
                </pic:pic>
              </a:graphicData>
            </a:graphic>
          </wp:inline>
        </w:drawing>
      </w:r>
    </w:p>
    <w:p>
      <w:pPr>
        <w:spacing w:line="312" w:lineRule="auto" w:after="200"/>
        <w:jc w:val="center"/>
      </w:pPr>
      <w:r>
        <w:rPr>
          <w:rFonts w:ascii="宋体" w:hAnsi="宋体" w:eastAsia="宋体"/>
          <w:b w:val="0"/>
          <w:color w:val="606060"/>
          <w:sz w:val="21"/>
        </w:rPr>
        <w:t>图 6  减排日历热力图：最近 12 周 × 7 天，连续记录天数与四档色阶</w:t>
      </w:r>
    </w:p>
    <w:p>
      <w:pPr>
        <w:spacing w:line="312" w:lineRule="auto" w:after="200"/>
        <w:jc w:val="center"/>
      </w:pPr>
      <w:r>
        <w:rPr>
          <w:rFonts w:ascii="宋体" w:hAnsi="宋体" w:eastAsia="宋体"/>
          <w:b w:val="0"/>
          <w:color w:val="606060"/>
          <w:sz w:val="21"/>
        </w:rPr>
        <w:t>（色阶图例：少 → 多，每格 = 一天；没有记录的日子为浅灰。）</w:t>
      </w:r>
    </w:p>
    <w:p>
      <w:pPr>
        <w:spacing w:line="360" w:lineRule="auto" w:before="200" w:after="160"/>
      </w:pPr>
      <w:r>
        <w:rPr>
          <w:rFonts w:ascii="宋体" w:hAnsi="宋体" w:eastAsia="宋体"/>
          <w:b/>
          <w:sz w:val="28"/>
        </w:rPr>
        <w:t>3.3 主要功能 3：碳积分激励体系</w:t>
      </w:r>
    </w:p>
    <w:p>
      <w:pPr>
        <w:spacing w:line="360" w:lineRule="auto" w:after="120"/>
        <w:ind w:firstLine="480"/>
      </w:pPr>
      <w:r>
        <w:rPr>
          <w:rFonts w:ascii="宋体" w:hAnsi="宋体" w:eastAsia="宋体"/>
          <w:b w:val="0"/>
          <w:sz w:val="24"/>
        </w:rPr>
        <w:t>积分规则为：每减排 1 kg CO₂e 获得 100 积分。积分可用于两个方向：</w:t>
      </w:r>
    </w:p>
    <w:p>
      <w:pPr>
        <w:pStyle w:val="ListBullet"/>
        <w:spacing w:line="360" w:lineRule="auto" w:after="60"/>
      </w:pPr>
      <w:r>
        <w:rPr>
          <w:rFonts w:ascii="宋体" w:hAnsi="宋体" w:eastAsia="宋体"/>
          <w:b w:val="0"/>
          <w:sz w:val="24"/>
        </w:rPr>
        <w:t>本地兑换：虚拟徽章与电子证书（低碳新芽徽章、绿色先锋徽章、植树证书、碳中和达人证书）。</w:t>
      </w:r>
    </w:p>
    <w:p>
      <w:pPr>
        <w:pStyle w:val="ListBullet"/>
        <w:spacing w:line="360" w:lineRule="auto" w:after="60"/>
      </w:pPr>
      <w:r>
        <w:rPr>
          <w:rFonts w:ascii="宋体" w:hAnsi="宋体" w:eastAsia="宋体"/>
          <w:b w:val="0"/>
          <w:sz w:val="24"/>
        </w:rPr>
        <w:t>平台兑换：上报到城市碳普惠平台后，兑换地铁乘车券、共享单车券等真实权益。</w:t>
      </w:r>
    </w:p>
    <w:p>
      <w:pPr>
        <w:spacing w:line="360" w:lineRule="auto" w:after="120"/>
        <w:ind w:firstLine="480"/>
      </w:pPr>
      <w:r>
        <w:rPr>
          <w:rFonts w:ascii="宋体" w:hAnsi="宋体" w:eastAsia="宋体"/>
          <w:b w:val="0"/>
          <w:sz w:val="24"/>
        </w:rPr>
        <w:t>兑换按钮会根据当前积分余额自动置灰或点亮，避免无效操作。此外另设「成就勋章墙」，把连续记录、累计减排等里程碑固化成可见的徽章。</w:t>
      </w:r>
    </w:p>
    <w:tbl>
      <w:tblPr>
        <w:tblW w:type="auto" w:w="0"/>
        <w:jc w:val="center"/>
        <w:tblLayout w:type="fixed"/>
        <w:tblLook w:firstColumn="1" w:firstRow="1" w:lastColumn="0" w:lastRow="0" w:noHBand="0" w:noVBand="1" w:val="04A0"/>
      </w:tblPr>
      <w:tblGrid>
        <w:gridCol w:w="4320"/>
        <w:gridCol w:w="4320"/>
      </w:tblGrid>
      <w:tr>
        <w:trPr>
          <w:cantSplit/>
        </w:trPr>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7" name="Picture 7"/>
                  <wp:cNvGraphicFramePr>
                    <a:graphicFrameLocks noChangeAspect="1"/>
                  </wp:cNvGraphicFramePr>
                  <a:graphic>
                    <a:graphicData uri="http://schemas.openxmlformats.org/drawingml/2006/picture">
                      <pic:pic>
                        <pic:nvPicPr>
                          <pic:cNvPr id="0" name="09-积分-碳普惠.jpeg"/>
                          <pic:cNvPicPr/>
                        </pic:nvPicPr>
                        <pic:blipFill>
                          <a:blip r:embed="rId15"/>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7  积分页：英雄区（1,462 分 / 权益解锁 100%）、城市碳普惠平台与低碳成就勋章墙</w:t>
            </w:r>
          </w:p>
        </w:tc>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8" name="Picture 8"/>
                  <wp:cNvGraphicFramePr>
                    <a:graphicFrameLocks noChangeAspect="1"/>
                  </wp:cNvGraphicFramePr>
                  <a:graphic>
                    <a:graphicData uri="http://schemas.openxmlformats.org/drawingml/2006/picture">
                      <pic:pic>
                        <pic:nvPicPr>
                          <pic:cNvPr id="0" name="10-积分-权益与勋章.jpeg"/>
                          <pic:cNvPicPr/>
                        </pic:nvPicPr>
                        <pic:blipFill>
                          <a:blip r:embed="rId16"/>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8  可兑换权益（植树证书 / 碳中和达人证书）与积分流水明细</w:t>
            </w:r>
          </w:p>
        </w:tc>
      </w:tr>
    </w:tbl>
    <w:p>
      <w:pPr>
        <w:spacing w:line="360" w:lineRule="auto" w:before="200" w:after="160"/>
      </w:pPr>
      <w:r>
        <w:rPr>
          <w:rFonts w:ascii="宋体" w:hAnsi="宋体" w:eastAsia="宋体"/>
          <w:b/>
          <w:sz w:val="28"/>
        </w:rPr>
        <w:t>3.4 主要功能 4：双碳科普专栏</w:t>
      </w:r>
    </w:p>
    <w:p>
      <w:pPr>
        <w:spacing w:line="360" w:lineRule="auto" w:after="120"/>
        <w:ind w:firstLine="480"/>
      </w:pPr>
      <w:r>
        <w:rPr>
          <w:rFonts w:ascii="宋体" w:hAnsi="宋体" w:eastAsia="宋体"/>
          <w:b w:val="0"/>
          <w:sz w:val="24"/>
        </w:rPr>
        <w:t>内置 8 篇图文科普，按「政策／概念／技巧／数据」四类标签组织，支持分类筛选与展开阅读。内容涵盖碳达峰碳中和目标、碳足迹计算方法、电网排放因子的地域差异、出行与居家的低碳技巧、回收的减排原理、食物浪费与碳排放、以及碳普惠机制。科普内容以独立数据文件组织，便于后续扩充而无需改动界面代码。</w:t>
      </w:r>
    </w:p>
    <w:tbl>
      <w:tblPr>
        <w:tblW w:type="auto" w:w="0"/>
        <w:jc w:val="center"/>
        <w:tblLayout w:type="fixed"/>
        <w:tblLook w:firstColumn="1" w:firstRow="1" w:lastColumn="0" w:lastRow="0" w:noHBand="0" w:noVBand="1" w:val="04A0"/>
      </w:tblPr>
      <w:tblGrid>
        <w:gridCol w:w="8640"/>
      </w:tblGrid>
      <w:tr>
        <w:trPr>
          <w:cantSplit/>
        </w:trPr>
        <w:tc>
          <w:tcPr>
            <w:tcW w:type="dxa" w:w="8640"/>
            <w:vAlign w:val="top"/>
          </w:tcPr>
          <w:p>
            <w:pPr>
              <w:spacing w:line="240" w:lineRule="auto" w:after="60"/>
              <w:jc w:val="center"/>
            </w:pPr>
            <w:r>
              <w:drawing>
                <wp:inline xmlns:a="http://schemas.openxmlformats.org/drawingml/2006/main" xmlns:pic="http://schemas.openxmlformats.org/drawingml/2006/picture">
                  <wp:extent cx="2468880" cy="4174652"/>
                  <wp:docPr id="9" name="Picture 9"/>
                  <wp:cNvGraphicFramePr>
                    <a:graphicFrameLocks noChangeAspect="1"/>
                  </wp:cNvGraphicFramePr>
                  <a:graphic>
                    <a:graphicData uri="http://schemas.openxmlformats.org/drawingml/2006/picture">
                      <pic:pic>
                        <pic:nvPicPr>
                          <pic:cNvPr id="0" name="13-科普专栏.jpeg"/>
                          <pic:cNvPicPr/>
                        </pic:nvPicPr>
                        <pic:blipFill>
                          <a:blip r:embed="rId17"/>
                          <a:stretch>
                            <a:fillRect/>
                          </a:stretch>
                        </pic:blipFill>
                        <pic:spPr>
                          <a:xfrm>
                            <a:off x="0" y="0"/>
                            <a:ext cx="2468880" cy="4174652"/>
                          </a:xfrm>
                          <a:prstGeom prst="rect"/>
                        </pic:spPr>
                      </pic:pic>
                    </a:graphicData>
                  </a:graphic>
                </wp:inline>
              </w:drawing>
            </w:r>
          </w:p>
          <w:p>
            <w:pPr>
              <w:spacing w:line="252" w:lineRule="auto" w:after="200"/>
              <w:jc w:val="center"/>
            </w:pPr>
            <w:r>
              <w:rPr>
                <w:rFonts w:ascii="宋体" w:hAnsi="宋体" w:eastAsia="宋体"/>
                <w:b w:val="0"/>
                <w:color w:val="606060"/>
                <w:sz w:val="19"/>
              </w:rPr>
              <w:t>图 9  科普专栏：清爽绿英雄区、分类标签与带图标块的文章卡</w:t>
            </w:r>
          </w:p>
        </w:tc>
      </w:tr>
    </w:tbl>
    <w:p>
      <w:pPr>
        <w:spacing w:line="360" w:lineRule="auto" w:before="200" w:after="160"/>
      </w:pPr>
      <w:r>
        <w:rPr>
          <w:rFonts w:ascii="宋体" w:hAnsi="宋体" w:eastAsia="宋体"/>
          <w:b/>
          <w:sz w:val="28"/>
        </w:rPr>
        <w:t>3.5 主要功能 5：本地数据管理</w:t>
      </w:r>
    </w:p>
    <w:p>
      <w:pPr>
        <w:spacing w:line="360" w:lineRule="auto" w:after="120"/>
        <w:ind w:firstLine="480"/>
      </w:pPr>
      <w:r>
        <w:rPr>
          <w:rFonts w:ascii="宋体" w:hAnsi="宋体" w:eastAsia="宋体"/>
          <w:b w:val="0"/>
          <w:sz w:val="24"/>
        </w:rPr>
        <w:t>提供两种导出方式：</w:t>
      </w:r>
    </w:p>
    <w:p>
      <w:pPr>
        <w:pStyle w:val="ListBullet"/>
        <w:spacing w:line="360" w:lineRule="auto" w:after="60"/>
      </w:pPr>
      <w:r>
        <w:rPr>
          <w:rFonts w:ascii="宋体" w:hAnsi="宋体" w:eastAsia="宋体"/>
          <w:b w:val="0"/>
          <w:sz w:val="24"/>
        </w:rPr>
        <w:t>备份数据：把用户档案、全部行为记录与积分流水导出为结构化 JSON 文件。</w:t>
      </w:r>
    </w:p>
    <w:p>
      <w:pPr>
        <w:pStyle w:val="ListBullet"/>
        <w:spacing w:line="360" w:lineRule="auto" w:after="60"/>
      </w:pPr>
      <w:r>
        <w:rPr>
          <w:rFonts w:ascii="宋体" w:hAnsi="宋体" w:eastAsia="宋体"/>
          <w:b w:val="0"/>
          <w:sz w:val="24"/>
        </w:rPr>
        <w:t>导出报表：把行为记录导出为 CSV 表格，便于在电脑上做进一步统计。</w:t>
      </w:r>
    </w:p>
    <w:p>
      <w:pPr>
        <w:spacing w:line="360" w:lineRule="auto" w:after="120"/>
        <w:ind w:firstLine="480"/>
      </w:pPr>
      <w:r>
        <w:rPr>
          <w:rFonts w:ascii="宋体" w:hAnsi="宋体" w:eastAsia="宋体"/>
          <w:b w:val="0"/>
          <w:sz w:val="24"/>
        </w:rPr>
        <w:t>两者均写入应用沙箱目录，并在界面上回显完整路径。此外提供「清空全部数据」入口，执行前需用户主动确认。</w:t>
      </w:r>
    </w:p>
    <w:tbl>
      <w:tblPr>
        <w:tblW w:type="auto" w:w="0"/>
        <w:jc w:val="center"/>
        <w:tblLayout w:type="fixed"/>
        <w:tblLook w:firstColumn="1" w:firstRow="1" w:lastColumn="0" w:lastRow="0" w:noHBand="0" w:noVBand="1" w:val="04A0"/>
      </w:tblPr>
      <w:tblGrid>
        <w:gridCol w:w="4320"/>
        <w:gridCol w:w="4320"/>
      </w:tblGrid>
      <w:tr>
        <w:trPr>
          <w:cantSplit/>
        </w:trPr>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10" name="Picture 10"/>
                  <wp:cNvGraphicFramePr>
                    <a:graphicFrameLocks noChangeAspect="1"/>
                  </wp:cNvGraphicFramePr>
                  <a:graphic>
                    <a:graphicData uri="http://schemas.openxmlformats.org/drawingml/2006/picture">
                      <pic:pic>
                        <pic:nvPicPr>
                          <pic:cNvPr id="0" name="14-我的-档案.jpeg"/>
                          <pic:cNvPicPr/>
                        </pic:nvPicPr>
                        <pic:blipFill>
                          <a:blip r:embed="rId18"/>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10  「我的」页：低碳称号英雄区、我的档案与超级终端同步面板</w:t>
            </w:r>
          </w:p>
        </w:tc>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11" name="Picture 11"/>
                  <wp:cNvGraphicFramePr>
                    <a:graphicFrameLocks noChangeAspect="1"/>
                  </wp:cNvGraphicFramePr>
                  <a:graphic>
                    <a:graphicData uri="http://schemas.openxmlformats.org/drawingml/2006/picture">
                      <pic:pic>
                        <pic:nvPicPr>
                          <pic:cNvPr id="0" name="15-我的-同步面板.jpeg"/>
                          <pic:cNvPicPr/>
                        </pic:nvPicPr>
                        <pic:blipFill>
                          <a:blip r:embed="rId19"/>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11  同步状态、端侧 AI 自检入口与本地数据管理（备份 JSON / 导出 CSV）</w:t>
            </w:r>
          </w:p>
        </w:tc>
      </w:tr>
    </w:tbl>
    <w:p>
      <w:pPr>
        <w:spacing w:line="360" w:lineRule="auto" w:before="200" w:after="160"/>
      </w:pPr>
      <w:r>
        <w:rPr>
          <w:rFonts w:ascii="宋体" w:hAnsi="宋体" w:eastAsia="宋体"/>
          <w:b/>
          <w:sz w:val="28"/>
        </w:rPr>
        <w:t>3.6 创新拓展 1：超级终端多设备同步</w:t>
      </w:r>
    </w:p>
    <w:p>
      <w:pPr>
        <w:spacing w:line="360" w:lineRule="auto" w:after="120"/>
        <w:ind w:firstLine="480"/>
      </w:pPr>
      <w:r>
        <w:rPr>
          <w:rFonts w:ascii="宋体" w:hAnsi="宋体" w:eastAsia="宋体"/>
          <w:b w:val="0"/>
          <w:sz w:val="24"/>
        </w:rPr>
        <w:t>基于鸿蒙分布式数据服务实现。用户在手机与平板等设备上登录同一账号、完成设备认证并处于同一局域网后，行为记录与积分流水可在设备间自动同步。作品提供了一个同步状态可视化面板，展示本机标识、可信设备列表、上次同步时间、同步结果、冲突记录数与远端写入数，让数据流转过程对用户完全可见。</w:t>
      </w:r>
    </w:p>
    <w:p>
      <w:pPr>
        <w:spacing w:line="360" w:lineRule="auto" w:after="120"/>
        <w:ind w:firstLine="480"/>
      </w:pPr>
      <w:r>
        <w:rPr>
          <w:rFonts w:ascii="宋体" w:hAnsi="宋体" w:eastAsia="宋体"/>
          <w:b w:val="0"/>
          <w:sz w:val="24"/>
        </w:rPr>
        <w:t>家庭碳积分合并统计通过在用户档案中引入「家庭 ID」实现：同一家庭 ID 的设备在同步后即自然形成合并视图。</w:t>
      </w:r>
    </w:p>
    <w:p>
      <w:pPr>
        <w:spacing w:line="360" w:lineRule="auto" w:before="200" w:after="160"/>
      </w:pPr>
      <w:r>
        <w:rPr>
          <w:rFonts w:ascii="宋体" w:hAnsi="宋体" w:eastAsia="宋体"/>
          <w:b/>
          <w:sz w:val="28"/>
        </w:rPr>
        <w:t>3.7 创新拓展 2：端侧 AI 图片识别</w:t>
      </w:r>
    </w:p>
    <w:p>
      <w:pPr>
        <w:spacing w:line="360" w:lineRule="auto" w:after="120"/>
        <w:ind w:firstLine="480"/>
      </w:pPr>
      <w:r>
        <w:rPr>
          <w:rFonts w:ascii="宋体" w:hAnsi="宋体" w:eastAsia="宋体"/>
          <w:b w:val="0"/>
          <w:sz w:val="24"/>
        </w:rPr>
        <w:t>用户在录入页拍照或从相册选图，应用在本机完成识别并预填表单，图片不会上传到任何服务器。实现上采用双通路设计：</w:t>
      </w:r>
    </w:p>
    <w:p>
      <w:pPr>
        <w:pStyle w:val="ListBullet"/>
        <w:spacing w:line="360" w:lineRule="auto" w:after="60"/>
      </w:pPr>
      <w:r>
        <w:rPr>
          <w:rFonts w:ascii="宋体" w:hAnsi="宋体" w:eastAsia="宋体"/>
          <w:b w:val="0"/>
          <w:sz w:val="24"/>
        </w:rPr>
        <w:t>视觉通路：使用 MindSpore Lite 在端侧加载 MobileNetV2 模型进行图像分类，模型文件随应用打包内置，推理完全离线。</w:t>
      </w:r>
    </w:p>
    <w:p>
      <w:pPr>
        <w:pStyle w:val="ListBullet"/>
        <w:spacing w:line="360" w:lineRule="auto" w:after="60"/>
      </w:pPr>
      <w:r>
        <w:rPr>
          <w:rFonts w:ascii="宋体" w:hAnsi="宋体" w:eastAsia="宋体"/>
          <w:b w:val="0"/>
          <w:sz w:val="24"/>
        </w:rPr>
        <w:t>文字通路：使用 Core Vision Kit 的端侧文字识别能力读取图片中的文字，再通过关键词规则映射到具体行为（例如识别到「地铁」「号线」即判定为地铁出行）。</w:t>
      </w:r>
    </w:p>
    <w:p>
      <w:pPr>
        <w:spacing w:line="360" w:lineRule="auto" w:after="120"/>
        <w:ind w:firstLine="480"/>
      </w:pPr>
      <w:r>
        <w:rPr>
          <w:rFonts w:ascii="宋体" w:hAnsi="宋体" w:eastAsia="宋体"/>
          <w:b w:val="0"/>
          <w:sz w:val="24"/>
        </w:rPr>
        <w:t>两路结果按置信度融合：一致时提升置信度，冲突时取较高者并降低置信度。仅当置信度达到阈值且映射到的因子确实存在时，才自动预填表单。</w:t>
      </w:r>
    </w:p>
    <w:p>
      <w:pPr>
        <w:spacing w:line="360" w:lineRule="auto" w:after="120"/>
        <w:ind w:firstLine="480"/>
      </w:pPr>
      <w:r>
        <w:rPr>
          <w:rFonts w:ascii="宋体" w:hAnsi="宋体" w:eastAsia="宋体"/>
          <w:b w:val="0"/>
          <w:sz w:val="24"/>
        </w:rPr>
        <w:t>需要如实说明的是：通用分类模型对「回收类」「餐饮类」识别效果较好，但对「节约用电」「步行」这类行为或账单语义的类别天然无能为力。因此作品的设计目标是「减少输入成本」，而不是「替代用户判断」，这一点在界面文案与设计文档中都做了明确说明。</w:t>
      </w:r>
    </w:p>
    <w:p>
      <w:pPr>
        <w:spacing w:line="360" w:lineRule="auto" w:before="200" w:after="160"/>
      </w:pPr>
      <w:r>
        <w:rPr>
          <w:rFonts w:ascii="宋体" w:hAnsi="宋体" w:eastAsia="宋体"/>
          <w:b/>
          <w:sz w:val="28"/>
        </w:rPr>
        <w:t>3.8 创新拓展 3：模拟城市碳普惠接口</w:t>
      </w:r>
    </w:p>
    <w:p>
      <w:pPr>
        <w:spacing w:line="360" w:lineRule="auto" w:after="120"/>
        <w:ind w:firstLine="480"/>
      </w:pPr>
      <w:r>
        <w:rPr>
          <w:rFonts w:ascii="宋体" w:hAnsi="宋体" w:eastAsia="宋体"/>
          <w:b w:val="0"/>
          <w:sz w:val="24"/>
        </w:rPr>
        <w:t>作品实现了一套完整的碳普惠平台对接层，包含账户绑定、积分上报、权益查询、权益兑换与订单查询五个环节。</w:t>
      </w:r>
    </w:p>
    <w:p>
      <w:pPr>
        <w:spacing w:line="360" w:lineRule="auto" w:after="120"/>
        <w:ind w:firstLine="480"/>
      </w:pPr>
      <w:r>
        <w:rPr>
          <w:rFonts w:ascii="宋体" w:hAnsi="宋体" w:eastAsia="宋体"/>
          <w:b w:val="0"/>
          <w:sz w:val="24"/>
        </w:rPr>
        <w:t>由于城市碳普惠平台没有对个人开发者开放的公开接口，且演示环境需要离线可用，该平台为本地模拟实现。但模拟保留了真实接口的全部语义：异步调用、网络延迟、业务错误码、库存扣减、幂等与账户状态校验。业务层只依赖接口契约、不依赖具体实现，因此未来对接真实平台时只需替换通信层，业务逻辑无需改动。</w:t>
      </w:r>
    </w:p>
    <w:p>
      <w:pPr>
        <w:spacing w:line="360" w:lineRule="auto" w:after="120"/>
        <w:ind w:firstLine="480"/>
      </w:pPr>
      <w:r>
        <w:rPr>
          <w:rFonts w:ascii="宋体" w:hAnsi="宋体" w:eastAsia="宋体"/>
          <w:b w:val="0"/>
          <w:sz w:val="24"/>
        </w:rPr>
        <w:t>内置权益包括地铁乘车券、共享单车免费券、环保购物袋、城市公园门票与电费红包，定价阶梯化设计，使演示中既能展示兑换成功，也能展示积分不足的分支。</w:t>
      </w:r>
    </w:p>
    <w:p>
      <w:pPr>
        <w:spacing w:line="360" w:lineRule="auto" w:before="200" w:after="160"/>
      </w:pPr>
      <w:r>
        <w:rPr>
          <w:rFonts w:ascii="宋体" w:hAnsi="宋体" w:eastAsia="宋体"/>
          <w:b/>
          <w:sz w:val="28"/>
        </w:rPr>
        <w:t>3.9 创新拓展 4：智能服务与社交分享</w:t>
      </w:r>
    </w:p>
    <w:p>
      <w:pPr>
        <w:spacing w:line="360" w:lineRule="auto" w:after="120"/>
        <w:ind w:firstLine="480"/>
      </w:pPr>
      <w:r>
        <w:rPr>
          <w:rFonts w:ascii="宋体" w:hAnsi="宋体" w:eastAsia="宋体"/>
          <w:b w:val="0"/>
          <w:sz w:val="24"/>
        </w:rPr>
        <w:t>包含三部分：</w:t>
      </w:r>
    </w:p>
    <w:p>
      <w:pPr>
        <w:pStyle w:val="ListBullet"/>
        <w:spacing w:line="360" w:lineRule="auto" w:after="60"/>
      </w:pPr>
      <w:r>
        <w:rPr>
          <w:rFonts w:ascii="宋体" w:hAnsi="宋体" w:eastAsia="宋体"/>
          <w:b w:val="0"/>
          <w:sz w:val="24"/>
        </w:rPr>
        <w:t>个性化低碳任务：每天生成 3 条任务。推荐规则为「短板优先」——先选出今天尚未记录的类目，再按历史记录条数从少到多排序，优先推送用户最薄弱的环节；已完成的事项会被标记并排到末尾。</w:t>
      </w:r>
    </w:p>
    <w:p>
      <w:pPr>
        <w:pStyle w:val="ListBullet"/>
        <w:spacing w:line="360" w:lineRule="auto" w:after="60"/>
      </w:pPr>
      <w:r>
        <w:rPr>
          <w:rFonts w:ascii="宋体" w:hAnsi="宋体" w:eastAsia="宋体"/>
          <w:b w:val="0"/>
          <w:sz w:val="24"/>
        </w:rPr>
        <w:t>个性化生活建议：每条建议都对应一个具体的数据事实，例如「本周比上周多减排 X kg」「你还没有记录过旧物回收类的行为」。推荐逻辑采用可解释的规则而非黑盒模型，便于说明与追溯。</w:t>
      </w:r>
    </w:p>
    <w:p>
      <w:pPr>
        <w:pStyle w:val="ListBullet"/>
        <w:spacing w:line="360" w:lineRule="auto" w:after="60"/>
      </w:pPr>
      <w:r>
        <w:rPr>
          <w:rFonts w:ascii="宋体" w:hAnsi="宋体" w:eastAsia="宋体"/>
          <w:b w:val="0"/>
          <w:sz w:val="24"/>
        </w:rPr>
        <w:t>减排成果分享：生成一张低碳成绩单卡片，包含累计减排量、等效植树量、记录条数与坚持天数，可导出为图片并保存到相册。分享图通过 ArkUI 组件快照能力生成，不需要引入额外绘图库。</w:t>
      </w:r>
    </w:p>
    <w:tbl>
      <w:tblPr>
        <w:tblW w:type="auto" w:w="0"/>
        <w:jc w:val="center"/>
        <w:tblLayout w:type="fixed"/>
        <w:tblLook w:firstColumn="1" w:firstRow="1" w:lastColumn="0" w:lastRow="0" w:noHBand="0" w:noVBand="1" w:val="04A0"/>
      </w:tblPr>
      <w:tblGrid>
        <w:gridCol w:w="4320"/>
        <w:gridCol w:w="4320"/>
      </w:tblGrid>
      <w:tr>
        <w:trPr>
          <w:cantSplit/>
        </w:trPr>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12" name="Picture 12"/>
                  <wp:cNvGraphicFramePr>
                    <a:graphicFrameLocks noChangeAspect="1"/>
                  </wp:cNvGraphicFramePr>
                  <a:graphic>
                    <a:graphicData uri="http://schemas.openxmlformats.org/drawingml/2006/picture">
                      <pic:pic>
                        <pic:nvPicPr>
                          <pic:cNvPr id="0" name="06-看板-柱状对比.jpeg"/>
                          <pic:cNvPicPr/>
                        </pic:nvPicPr>
                        <pic:blipFill>
                          <a:blip r:embed="rId20"/>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12  今日低碳任务（短板优先）与数据事实驱动的低碳建议</w:t>
            </w:r>
          </w:p>
        </w:tc>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13" name="Picture 13"/>
                  <wp:cNvGraphicFramePr>
                    <a:graphicFrameLocks noChangeAspect="1"/>
                  </wp:cNvGraphicFramePr>
                  <a:graphic>
                    <a:graphicData uri="http://schemas.openxmlformats.org/drawingml/2006/picture">
                      <pic:pic>
                        <pic:nvPicPr>
                          <pic:cNvPr id="0" name="07-看板-饼图与图例.jpeg"/>
                          <pic:cNvPicPr/>
                        </pic:nvPicPr>
                        <pic:blipFill>
                          <a:blip r:embed="rId21"/>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13  减排成果分享卡与「生成分享图 / 保存图片」入口</w:t>
            </w:r>
          </w:p>
        </w:tc>
      </w:tr>
    </w:tbl>
    <w:p>
      <w:pPr>
        <w:spacing w:line="360" w:lineRule="auto" w:before="200" w:after="160"/>
      </w:pPr>
      <w:r>
        <w:rPr>
          <w:rFonts w:ascii="宋体" w:hAnsi="宋体" w:eastAsia="宋体"/>
          <w:b/>
          <w:sz w:val="28"/>
        </w:rPr>
        <w:t>3.10 鸿蒙特色能力：桌面服务卡片</w:t>
      </w:r>
    </w:p>
    <w:p>
      <w:pPr>
        <w:spacing w:line="360" w:lineRule="auto" w:after="120"/>
        <w:ind w:firstLine="480"/>
      </w:pPr>
      <w:r>
        <w:rPr>
          <w:rFonts w:ascii="宋体" w:hAnsi="宋体" w:eastAsia="宋体"/>
          <w:b w:val="0"/>
          <w:sz w:val="24"/>
        </w:rPr>
        <w:t>除赛题列出的四项创新拓展外，作品还实现了一项鸿蒙特有的系统级能力——桌面服务卡片（万能卡片）。用户把卡片添加到桌面后，</w:t>
      </w:r>
      <w:r>
        <w:rPr>
          <w:rFonts w:ascii="宋体" w:hAnsi="宋体" w:eastAsia="宋体"/>
          <w:b/>
          <w:sz w:val="24"/>
        </w:rPr>
        <w:t>不必打开应用</w:t>
      </w:r>
      <w:r>
        <w:rPr>
          <w:rFonts w:ascii="宋体" w:hAnsi="宋体" w:eastAsia="宋体"/>
          <w:b w:val="0"/>
          <w:sz w:val="24"/>
        </w:rPr>
        <w:t>即可看到今日减排量、碳积分、近 7 日趋势与个性化提示；点击卡片直接进入应用。</w:t>
      </w:r>
    </w:p>
    <w:p>
      <w:pPr>
        <w:spacing w:line="360" w:lineRule="auto" w:after="120"/>
        <w:ind w:firstLine="480"/>
      </w:pPr>
      <w:r>
        <w:rPr>
          <w:rFonts w:ascii="宋体" w:hAnsi="宋体" w:eastAsia="宋体"/>
          <w:b w:val="0"/>
          <w:sz w:val="24"/>
        </w:rPr>
        <w:t>卡片支持 2×2、2×4、4×4 三种尺寸，并随应用内数据变化自动刷新：用户在应用里新增一条记录后，主应用会主动通知卡片更新；系统也会按配置定期拉取。卡片数据直接读取与应用相同的分布式键值库，因此显示内容与打开应用所见完全一致。</w:t>
      </w:r>
    </w:p>
    <w:p>
      <w:pPr>
        <w:spacing w:line="360" w:lineRule="auto" w:after="120"/>
        <w:ind w:firstLine="480"/>
      </w:pPr>
      <w:r>
        <w:rPr>
          <w:rFonts w:ascii="宋体" w:hAnsi="宋体" w:eastAsia="宋体"/>
          <w:b w:val="0"/>
          <w:sz w:val="24"/>
        </w:rPr>
        <w:t>这项能力的价值在于它无法被其它平台复刻：安卓与小程序都没有等价的桌面常驻卡片机制，而鸿蒙的卡片是系统级一等公民，可以承载实时数据、响应点击、参与负一屏与桌面布局。在演示环节，它也是最直观的「鸿蒙感」体现——评委看到桌面上直接显示着碳数据，不需要任何解释就能理解差异。</w:t>
      </w:r>
    </w:p>
    <w:tbl>
      <w:tblPr>
        <w:tblW w:type="auto" w:w="0"/>
        <w:jc w:val="center"/>
        <w:tblLayout w:type="fixed"/>
        <w:tblLook w:firstColumn="1" w:firstRow="1" w:lastColumn="0" w:lastRow="0" w:noHBand="0" w:noVBand="1" w:val="04A0"/>
      </w:tblPr>
      <w:tblGrid>
        <w:gridCol w:w="8640"/>
      </w:tblGrid>
      <w:tr>
        <w:trPr>
          <w:cantSplit/>
        </w:trPr>
        <w:tc>
          <w:tcPr>
            <w:tcW w:type="dxa" w:w="8640"/>
            <w:vAlign w:val="top"/>
          </w:tcPr>
          <w:p>
            <w:pPr>
              <w:spacing w:line="240" w:lineRule="auto" w:after="60"/>
              <w:jc w:val="center"/>
            </w:pPr>
            <w:r>
              <w:drawing>
                <wp:inline xmlns:a="http://schemas.openxmlformats.org/drawingml/2006/main" xmlns:pic="http://schemas.openxmlformats.org/drawingml/2006/picture">
                  <wp:extent cx="2926080" cy="2869809"/>
                  <wp:docPr id="14" name="Picture 14"/>
                  <wp:cNvGraphicFramePr>
                    <a:graphicFrameLocks noChangeAspect="1"/>
                  </wp:cNvGraphicFramePr>
                  <a:graphic>
                    <a:graphicData uri="http://schemas.openxmlformats.org/drawingml/2006/picture">
                      <pic:pic>
                        <pic:nvPicPr>
                          <pic:cNvPr id="0" name="14-服务卡片-特写.png"/>
                          <pic:cNvPicPr/>
                        </pic:nvPicPr>
                        <pic:blipFill>
                          <a:blip r:embed="rId22"/>
                          <a:stretch>
                            <a:fillRect/>
                          </a:stretch>
                        </pic:blipFill>
                        <pic:spPr>
                          <a:xfrm>
                            <a:off x="0" y="0"/>
                            <a:ext cx="2926080" cy="2869809"/>
                          </a:xfrm>
                          <a:prstGeom prst="rect"/>
                        </pic:spPr>
                      </pic:pic>
                    </a:graphicData>
                  </a:graphic>
                </wp:inline>
              </w:drawing>
            </w:r>
          </w:p>
          <w:p>
            <w:pPr>
              <w:spacing w:line="252" w:lineRule="auto" w:after="200"/>
              <w:jc w:val="center"/>
            </w:pPr>
            <w:r>
              <w:rPr>
                <w:rFonts w:ascii="宋体" w:hAnsi="宋体" w:eastAsia="宋体"/>
                <w:b w:val="0"/>
                <w:color w:val="606060"/>
                <w:sz w:val="19"/>
              </w:rPr>
              <w:t>图 14  桌面服务卡片特写：今日减排量、碳积分与近 7 日迷你趋势</w:t>
            </w:r>
          </w:p>
        </w:tc>
      </w:tr>
    </w:tbl>
    <w:p>
      <w:pPr>
        <w:spacing w:line="360" w:lineRule="auto" w:before="200" w:after="160"/>
      </w:pPr>
      <w:r>
        <w:rPr>
          <w:rFonts w:ascii="宋体" w:hAnsi="宋体" w:eastAsia="宋体"/>
          <w:b/>
          <w:sz w:val="28"/>
        </w:rPr>
        <w:t>3.11 界面设计与视觉体系</w:t>
      </w:r>
    </w:p>
    <w:p>
      <w:pPr>
        <w:spacing w:line="360" w:lineRule="auto" w:after="120"/>
        <w:ind w:firstLine="480"/>
      </w:pPr>
      <w:r>
        <w:rPr>
          <w:rFonts w:ascii="宋体" w:hAnsi="宋体" w:eastAsia="宋体"/>
          <w:b w:val="0"/>
          <w:sz w:val="24"/>
        </w:rPr>
        <w:t>界面不是「好看就行」，而是有依据的工程结果。作品的设计参数全部对齐《HarmonyOS 设计规范》，并把规范落成一份可复用的设计令牌文件（</w:t>
      </w:r>
      <w:r>
        <w:rPr>
          <w:rFonts w:ascii="Consolas" w:hAnsi="Consolas" w:eastAsia="Consolas"/>
          <w:b w:val="0"/>
          <w:sz w:val="23"/>
        </w:rPr>
        <w:t>common/Theme.ets</w:t>
      </w:r>
      <w:r>
        <w:rPr>
          <w:rFonts w:ascii="宋体" w:hAnsi="宋体" w:eastAsia="宋体"/>
          <w:b w:val="0"/>
          <w:sz w:val="24"/>
        </w:rPr>
        <w:t>），页面只引用令牌、不写死数值。</w:t>
      </w:r>
    </w:p>
    <w:p>
      <w:pPr>
        <w:spacing w:line="360" w:lineRule="auto" w:after="120"/>
        <w:ind w:firstLine="480"/>
      </w:pPr>
      <w:r>
        <w:rPr>
          <w:rFonts w:ascii="宋体" w:hAnsi="宋体" w:eastAsia="宋体"/>
          <w:b/>
          <w:sz w:val="24"/>
        </w:rPr>
        <w:t>本次视觉改造的背景</w:t>
      </w:r>
      <w:r>
        <w:rPr>
          <w:rFonts w:ascii="宋体" w:hAnsi="宋体" w:eastAsia="宋体"/>
          <w:b w:val="0"/>
          <w:sz w:val="24"/>
        </w:rPr>
        <w:t>：工程里本来就有一份质量很高的设计令牌，但改造前的落地率只有约 15%——渐变只用在 2 个页面，卡片投影全工程只调用了 4 次，动效令牌定义了却一次都没用（全工程零动画），另有 104 处颜色是手工裸写的。于是界面呈现的是两套设计语言的拼贴：少数几块地方有质感，大部分还是脚手架。诊断结论是——问题不在审美，而在「施工完成度」。</w:t>
      </w:r>
    </w:p>
    <w:p>
      <w:pPr>
        <w:spacing w:line="360" w:lineRule="auto" w:after="120"/>
        <w:ind w:firstLine="480"/>
      </w:pPr>
      <w:r>
        <w:rPr>
          <w:rFonts w:ascii="宋体" w:hAnsi="宋体" w:eastAsia="宋体"/>
          <w:b w:val="0"/>
          <w:sz w:val="24"/>
        </w:rPr>
        <w:t>改造围绕五件事展开，它们共同构成了现在这套界面语言：</w:t>
      </w:r>
    </w:p>
    <w:p>
      <w:pPr>
        <w:pStyle w:val="ListBullet"/>
        <w:spacing w:line="360" w:lineRule="auto" w:after="60"/>
      </w:pPr>
      <w:r>
        <w:rPr>
          <w:rFonts w:ascii="宋体" w:hAnsi="宋体" w:eastAsia="宋体"/>
          <w:b/>
          <w:sz w:val="24"/>
        </w:rPr>
        <w:t>统一英雄区</w:t>
      </w:r>
      <w:r>
        <w:rPr>
          <w:rFonts w:ascii="宋体" w:hAnsi="宋体" w:eastAsia="宋体"/>
          <w:b w:val="0"/>
          <w:sz w:val="24"/>
        </w:rPr>
        <w:t>：五个页面都用「渐变英雄区」开场，按页面气质分三档绿色，但每页的主角不同——记一笔是减排总量与目标环，看板是趋势入口，积分是余额与权益解锁度，科普是内容数量，我的是低碳称号。</w:t>
      </w:r>
    </w:p>
    <w:p>
      <w:pPr>
        <w:pStyle w:val="ListBullet"/>
        <w:spacing w:line="360" w:lineRule="auto" w:after="60"/>
      </w:pPr>
      <w:r>
        <w:rPr>
          <w:rFonts w:ascii="宋体" w:hAnsi="宋体" w:eastAsia="宋体"/>
          <w:b/>
          <w:sz w:val="24"/>
        </w:rPr>
        <w:t>卡片默认投影</w:t>
      </w:r>
      <w:r>
        <w:rPr>
          <w:rFonts w:ascii="宋体" w:hAnsi="宋体" w:eastAsia="宋体"/>
          <w:b w:val="0"/>
          <w:sz w:val="24"/>
        </w:rPr>
        <w:t>：把「卡片长什么样」从 5 个页面收敛到 1 个公共组件，投影成为默认行为而不是逐页手写；卡片同时分三级（主卡渐变 32vp 圆角、次卡白底轻阴影、微卡浅灰 8vp）。</w:t>
      </w:r>
    </w:p>
    <w:p>
      <w:pPr>
        <w:pStyle w:val="ListBullet"/>
        <w:spacing w:line="360" w:lineRule="auto" w:after="60"/>
      </w:pPr>
      <w:r>
        <w:rPr>
          <w:rFonts w:ascii="宋体" w:hAnsi="宋体" w:eastAsia="宋体"/>
          <w:b/>
          <w:sz w:val="24"/>
        </w:rPr>
        <w:t>列表图标化</w:t>
      </w:r>
      <w:r>
        <w:rPr>
          <w:rFonts w:ascii="宋体" w:hAnsi="宋体" w:eastAsia="宋体"/>
          <w:b w:val="0"/>
          <w:sz w:val="24"/>
        </w:rPr>
        <w:t>：科普、积分、同步等列表一律加图标块，同一屏里的信息密度与可扫读性都明显提升。</w:t>
      </w:r>
    </w:p>
    <w:p>
      <w:pPr>
        <w:pStyle w:val="ListBullet"/>
        <w:spacing w:line="360" w:lineRule="auto" w:after="60"/>
      </w:pPr>
      <w:r>
        <w:rPr>
          <w:rFonts w:ascii="宋体" w:hAnsi="宋体" w:eastAsia="宋体"/>
          <w:b/>
          <w:sz w:val="24"/>
        </w:rPr>
        <w:t>弹簧动效</w:t>
      </w:r>
      <w:r>
        <w:rPr>
          <w:rFonts w:ascii="宋体" w:hAnsi="宋体" w:eastAsia="宋体"/>
          <w:b w:val="0"/>
          <w:sz w:val="24"/>
        </w:rPr>
        <w:t xml:space="preserve">：页签切换、类目选中、保存按钮、展开折叠与环形进度共 9 处 </w:t>
      </w:r>
      <w:r>
        <w:rPr>
          <w:rFonts w:ascii="Consolas" w:hAnsi="Consolas" w:eastAsia="Consolas"/>
          <w:b w:val="0"/>
          <w:sz w:val="23"/>
        </w:rPr>
        <w:t>animateTo</w:t>
      </w:r>
      <w:r>
        <w:rPr>
          <w:rFonts w:ascii="宋体" w:hAnsi="宋体" w:eastAsia="宋体"/>
          <w:b w:val="0"/>
          <w:sz w:val="24"/>
        </w:rPr>
        <w:t>，全工程从 0 到 9，交互有了「手感」。</w:t>
      </w:r>
    </w:p>
    <w:p>
      <w:pPr>
        <w:pStyle w:val="ListBullet"/>
        <w:spacing w:line="360" w:lineRule="auto" w:after="60"/>
      </w:pPr>
      <w:r>
        <w:rPr>
          <w:rFonts w:ascii="宋体" w:hAnsi="宋体" w:eastAsia="宋体"/>
          <w:b/>
          <w:sz w:val="24"/>
        </w:rPr>
        <w:t>数据可视化</w:t>
      </w:r>
      <w:r>
        <w:rPr>
          <w:rFonts w:ascii="宋体" w:hAnsi="宋体" w:eastAsia="宋体"/>
          <w:b w:val="0"/>
          <w:sz w:val="24"/>
        </w:rPr>
        <w:t>：折线加「上期」对比线、柱顶标注数值、环形图中心显示总量、图例改原生样式，并新增减排日历热力图。</w:t>
      </w:r>
    </w:p>
    <w:p>
      <w:pPr>
        <w:spacing w:line="360" w:lineRule="auto" w:after="120"/>
        <w:ind w:firstLine="480"/>
      </w:pPr>
      <w:r>
        <w:rPr>
          <w:rFonts w:ascii="宋体" w:hAnsi="宋体" w:eastAsia="宋体"/>
          <w:b w:val="0"/>
          <w:sz w:val="24"/>
        </w:rPr>
        <w:t>规范依据具体落到四组官方 Token 上：</w:t>
      </w:r>
      <w:r>
        <w:rPr>
          <w:rFonts w:ascii="宋体" w:hAnsi="宋体" w:eastAsia="宋体"/>
          <w:b/>
          <w:sz w:val="24"/>
        </w:rPr>
        <w:t>圆角</w:t>
      </w:r>
      <w:r>
        <w:rPr>
          <w:rFonts w:ascii="宋体" w:hAnsi="宋体" w:eastAsia="宋体"/>
          <w:b w:val="0"/>
          <w:sz w:val="24"/>
        </w:rPr>
        <w:t>按官方五档收敛（标签 4 / 图标 8 / 普通卡片 16 / 按钮 20 / 主卡 32，vp），对应官方「层级越高圆角越大」的原则；</w:t>
      </w:r>
      <w:r>
        <w:rPr>
          <w:rFonts w:ascii="宋体" w:hAnsi="宋体" w:eastAsia="宋体"/>
          <w:b/>
          <w:sz w:val="24"/>
        </w:rPr>
        <w:t>色彩</w:t>
      </w:r>
      <w:r>
        <w:rPr>
          <w:rFonts w:ascii="宋体" w:hAnsi="宋体" w:eastAsia="宋体"/>
          <w:b w:val="0"/>
          <w:sz w:val="24"/>
        </w:rPr>
        <w:t>采用官方文本四级（85% / 60% / 40% / 20% 黑），让标题、正文、辅助说明、占位符各自归位；</w:t>
      </w:r>
      <w:r>
        <w:rPr>
          <w:rFonts w:ascii="宋体" w:hAnsi="宋体" w:eastAsia="宋体"/>
          <w:b/>
          <w:sz w:val="24"/>
        </w:rPr>
        <w:t>间距</w:t>
      </w:r>
      <w:r>
        <w:rPr>
          <w:rFonts w:ascii="宋体" w:hAnsi="宋体" w:eastAsia="宋体"/>
          <w:b w:val="0"/>
          <w:sz w:val="24"/>
        </w:rPr>
        <w:t>统一到 8vp 体系（卡片之间 12、卡片内边距 16、屏幕左右 16）；</w:t>
      </w:r>
      <w:r>
        <w:rPr>
          <w:rFonts w:ascii="宋体" w:hAnsi="宋体" w:eastAsia="宋体"/>
          <w:b/>
          <w:sz w:val="24"/>
        </w:rPr>
        <w:t>字号</w:t>
      </w:r>
      <w:r>
        <w:rPr>
          <w:rFonts w:ascii="宋体" w:hAnsi="宋体" w:eastAsia="宋体"/>
          <w:b w:val="0"/>
          <w:sz w:val="24"/>
        </w:rPr>
        <w:t>则把大数字改用 Normal 字重而非 Bold，避免粗体大数字显得笨重。</w:t>
      </w:r>
    </w:p>
    <w:p>
      <w:pPr>
        <w:spacing w:line="360" w:lineRule="auto" w:after="120"/>
        <w:ind w:firstLine="480"/>
      </w:pPr>
      <w:r>
        <w:rPr>
          <w:rFonts w:ascii="宋体" w:hAnsi="宋体" w:eastAsia="宋体"/>
          <w:b w:val="0"/>
          <w:sz w:val="24"/>
        </w:rPr>
        <w:t>还有两处细节值得一提。一是</w:t>
      </w:r>
      <w:r>
        <w:rPr>
          <w:rFonts w:ascii="宋体" w:hAnsi="宋体" w:eastAsia="宋体"/>
          <w:b/>
          <w:sz w:val="24"/>
        </w:rPr>
        <w:t>视觉重量</w:t>
      </w:r>
      <w:r>
        <w:rPr>
          <w:rFonts w:ascii="宋体" w:hAnsi="宋体" w:eastAsia="宋体"/>
          <w:b w:val="0"/>
          <w:sz w:val="24"/>
        </w:rPr>
        <w:t>：五个页签图标原先形状差异过大，实测视觉重量极差达 27.03%，改造中重绘了页签图标（「记一笔」从加号方框改成铅笔、「积分」从星形改成硬币加叶），压到 0.34%。二是</w:t>
      </w:r>
      <w:r>
        <w:rPr>
          <w:rFonts w:ascii="宋体" w:hAnsi="宋体" w:eastAsia="宋体"/>
          <w:b/>
          <w:sz w:val="24"/>
        </w:rPr>
        <w:t>图标来源</w:t>
      </w:r>
      <w:r>
        <w:rPr>
          <w:rFonts w:ascii="宋体" w:hAnsi="宋体" w:eastAsia="宋体"/>
          <w:b w:val="0"/>
          <w:sz w:val="24"/>
        </w:rPr>
        <w:t xml:space="preserve">：官方 Symbol 符号库共 579 个图标，但其中没有环保语义的图标（没有叶子、树、回收、碳），因此作品按统一 24×24 画布自绘了一套图标，运行时通过 </w:t>
      </w:r>
      <w:r>
        <w:rPr>
          <w:rFonts w:ascii="Consolas" w:hAnsi="Consolas" w:eastAsia="Consolas"/>
          <w:b w:val="0"/>
          <w:sz w:val="23"/>
        </w:rPr>
        <w:t>fillColor</w:t>
      </w:r>
      <w:r>
        <w:rPr>
          <w:rFonts w:ascii="宋体" w:hAnsi="宋体" w:eastAsia="宋体"/>
          <w:b w:val="0"/>
          <w:sz w:val="24"/>
        </w:rPr>
        <w:t xml:space="preserve"> 一套图标走遍所有配色。</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2880"/>
          </w:tcPr>
          <w:p>
            <w:pPr>
              <w:spacing w:line="300" w:lineRule="auto" w:after="40"/>
              <w:jc w:val="center"/>
            </w:pPr>
            <w:r/>
            <w:r>
              <w:rPr>
                <w:rFonts w:ascii="宋体" w:hAnsi="宋体" w:eastAsia="宋体"/>
                <w:b/>
                <w:sz w:val="20"/>
              </w:rPr>
              <w:t>指标</w:t>
            </w:r>
          </w:p>
        </w:tc>
        <w:tc>
          <w:tcPr>
            <w:tcW w:type="dxa" w:w="2304"/>
          </w:tcPr>
          <w:p>
            <w:pPr>
              <w:spacing w:line="300" w:lineRule="auto" w:after="40"/>
              <w:jc w:val="center"/>
            </w:pPr>
            <w:r/>
            <w:r>
              <w:rPr>
                <w:rFonts w:ascii="宋体" w:hAnsi="宋体" w:eastAsia="宋体"/>
                <w:b/>
                <w:sz w:val="20"/>
              </w:rPr>
              <w:t>改造前</w:t>
            </w:r>
          </w:p>
        </w:tc>
        <w:tc>
          <w:tcPr>
            <w:tcW w:type="dxa" w:w="3456"/>
          </w:tcPr>
          <w:p>
            <w:pPr>
              <w:spacing w:line="300" w:lineRule="auto" w:after="40"/>
              <w:jc w:val="center"/>
            </w:pPr>
            <w:r/>
            <w:r>
              <w:rPr>
                <w:rFonts w:ascii="宋体" w:hAnsi="宋体" w:eastAsia="宋体"/>
                <w:b/>
                <w:sz w:val="20"/>
              </w:rPr>
              <w:t>改造后</w:t>
            </w:r>
          </w:p>
        </w:tc>
      </w:tr>
      <w:tr>
        <w:trPr>
          <w:cantSplit/>
        </w:trPr>
        <w:tc>
          <w:tcPr>
            <w:tcW w:type="dxa" w:w="2880"/>
          </w:tcPr>
          <w:p>
            <w:pPr>
              <w:spacing w:line="300" w:lineRule="auto" w:after="40"/>
            </w:pPr>
            <w:r/>
            <w:r>
              <w:rPr>
                <w:rFonts w:ascii="宋体" w:hAnsi="宋体" w:eastAsia="宋体"/>
                <w:b w:val="0"/>
                <w:sz w:val="20"/>
              </w:rPr>
              <w:t>裸写颜色字符串</w:t>
            </w:r>
          </w:p>
        </w:tc>
        <w:tc>
          <w:tcPr>
            <w:tcW w:type="dxa" w:w="2304"/>
          </w:tcPr>
          <w:p>
            <w:pPr>
              <w:spacing w:line="300" w:lineRule="auto" w:after="40"/>
            </w:pPr>
            <w:r/>
            <w:r>
              <w:rPr>
                <w:rFonts w:ascii="宋体" w:hAnsi="宋体" w:eastAsia="宋体"/>
                <w:b w:val="0"/>
                <w:sz w:val="20"/>
              </w:rPr>
              <w:t>104 处</w:t>
            </w:r>
          </w:p>
        </w:tc>
        <w:tc>
          <w:tcPr>
            <w:tcW w:type="dxa" w:w="3456"/>
          </w:tcPr>
          <w:p>
            <w:pPr>
              <w:spacing w:line="300" w:lineRule="auto" w:after="40"/>
            </w:pPr>
            <w:r/>
            <w:r>
              <w:rPr>
                <w:rFonts w:ascii="宋体" w:hAnsi="宋体" w:eastAsia="宋体"/>
                <w:b w:val="0"/>
                <w:sz w:val="20"/>
              </w:rPr>
              <w:t>12 处（且均为带注释的装饰性透明白）</w:t>
            </w:r>
          </w:p>
        </w:tc>
      </w:tr>
      <w:tr>
        <w:trPr>
          <w:cantSplit/>
        </w:trPr>
        <w:tc>
          <w:tcPr>
            <w:tcW w:type="dxa" w:w="2880"/>
          </w:tcPr>
          <w:p>
            <w:pPr>
              <w:spacing w:line="300" w:lineRule="auto" w:after="40"/>
            </w:pPr>
            <w:r/>
            <w:r>
              <w:rPr>
                <w:rFonts w:ascii="宋体" w:hAnsi="宋体" w:eastAsia="宋体"/>
                <w:b w:val="0"/>
                <w:sz w:val="20"/>
              </w:rPr>
              <w:t>「孤儿色」（不在规范里）</w:t>
            </w:r>
          </w:p>
        </w:tc>
        <w:tc>
          <w:tcPr>
            <w:tcW w:type="dxa" w:w="2304"/>
          </w:tcPr>
          <w:p>
            <w:pPr>
              <w:spacing w:line="300" w:lineRule="auto" w:after="40"/>
            </w:pPr>
            <w:r/>
            <w:r>
              <w:rPr>
                <w:rFonts w:ascii="宋体" w:hAnsi="宋体" w:eastAsia="宋体"/>
                <w:b w:val="0"/>
                <w:sz w:val="20"/>
              </w:rPr>
              <w:t>12 种</w:t>
            </w:r>
          </w:p>
        </w:tc>
        <w:tc>
          <w:tcPr>
            <w:tcW w:type="dxa" w:w="3456"/>
          </w:tcPr>
          <w:p>
            <w:pPr>
              <w:spacing w:line="300" w:lineRule="auto" w:after="40"/>
            </w:pPr>
            <w:r/>
            <w:r>
              <w:rPr>
                <w:rFonts w:ascii="宋体" w:hAnsi="宋体" w:eastAsia="宋体"/>
                <w:b w:val="0"/>
                <w:sz w:val="20"/>
              </w:rPr>
              <w:t>0 种</w:t>
            </w:r>
          </w:p>
        </w:tc>
      </w:tr>
      <w:tr>
        <w:trPr>
          <w:cantSplit/>
        </w:trPr>
        <w:tc>
          <w:tcPr>
            <w:tcW w:type="dxa" w:w="2880"/>
          </w:tcPr>
          <w:p>
            <w:pPr>
              <w:spacing w:line="300" w:lineRule="auto" w:after="40"/>
            </w:pPr>
            <w:r/>
            <w:r>
              <w:rPr>
                <w:rFonts w:ascii="宋体" w:hAnsi="宋体" w:eastAsia="宋体"/>
                <w:b w:val="0"/>
                <w:sz w:val="20"/>
              </w:rPr>
              <w:t>官方字号令牌采纳</w:t>
            </w:r>
          </w:p>
        </w:tc>
        <w:tc>
          <w:tcPr>
            <w:tcW w:type="dxa" w:w="2304"/>
          </w:tcPr>
          <w:p>
            <w:pPr>
              <w:spacing w:line="300" w:lineRule="auto" w:after="40"/>
            </w:pPr>
            <w:r/>
            <w:r>
              <w:rPr>
                <w:rFonts w:ascii="宋体" w:hAnsi="宋体" w:eastAsia="宋体"/>
                <w:b w:val="0"/>
                <w:sz w:val="20"/>
              </w:rPr>
              <w:t>26 次</w:t>
            </w:r>
          </w:p>
        </w:tc>
        <w:tc>
          <w:tcPr>
            <w:tcW w:type="dxa" w:w="3456"/>
          </w:tcPr>
          <w:p>
            <w:pPr>
              <w:spacing w:line="300" w:lineRule="auto" w:after="40"/>
            </w:pPr>
            <w:r/>
            <w:r>
              <w:rPr>
                <w:rFonts w:ascii="宋体" w:hAnsi="宋体" w:eastAsia="宋体"/>
                <w:b w:val="0"/>
                <w:sz w:val="20"/>
              </w:rPr>
              <w:t>114 次</w:t>
            </w:r>
          </w:p>
        </w:tc>
      </w:tr>
      <w:tr>
        <w:trPr>
          <w:cantSplit/>
        </w:trPr>
        <w:tc>
          <w:tcPr>
            <w:tcW w:type="dxa" w:w="2880"/>
          </w:tcPr>
          <w:p>
            <w:pPr>
              <w:spacing w:line="300" w:lineRule="auto" w:after="40"/>
            </w:pPr>
            <w:r/>
            <w:r>
              <w:rPr>
                <w:rFonts w:ascii="宋体" w:hAnsi="宋体" w:eastAsia="宋体"/>
                <w:b w:val="0"/>
                <w:sz w:val="20"/>
              </w:rPr>
              <w:t xml:space="preserve">裸写 </w:t>
            </w:r>
            <w:r>
              <w:rPr>
                <w:rFonts w:ascii="Consolas" w:hAnsi="Consolas" w:eastAsia="Consolas"/>
                <w:b w:val="0"/>
                <w:sz w:val="19"/>
              </w:rPr>
              <w:t>.fontSize(数字)</w:t>
            </w:r>
          </w:p>
        </w:tc>
        <w:tc>
          <w:tcPr>
            <w:tcW w:type="dxa" w:w="2304"/>
          </w:tcPr>
          <w:p>
            <w:pPr>
              <w:spacing w:line="300" w:lineRule="auto" w:after="40"/>
            </w:pPr>
            <w:r/>
            <w:r>
              <w:rPr>
                <w:rFonts w:ascii="宋体" w:hAnsi="宋体" w:eastAsia="宋体"/>
                <w:b w:val="0"/>
                <w:sz w:val="20"/>
              </w:rPr>
              <w:t>135 次</w:t>
            </w:r>
          </w:p>
        </w:tc>
        <w:tc>
          <w:tcPr>
            <w:tcW w:type="dxa" w:w="3456"/>
          </w:tcPr>
          <w:p>
            <w:pPr>
              <w:spacing w:line="300" w:lineRule="auto" w:after="40"/>
            </w:pPr>
            <w:r/>
            <w:r>
              <w:rPr>
                <w:rFonts w:ascii="宋体" w:hAnsi="宋体" w:eastAsia="宋体"/>
                <w:b w:val="0"/>
                <w:sz w:val="20"/>
              </w:rPr>
              <w:t>51 次</w:t>
            </w:r>
          </w:p>
        </w:tc>
      </w:tr>
      <w:tr>
        <w:trPr>
          <w:cantSplit/>
        </w:trPr>
        <w:tc>
          <w:tcPr>
            <w:tcW w:type="dxa" w:w="2880"/>
          </w:tcPr>
          <w:p>
            <w:pPr>
              <w:spacing w:line="300" w:lineRule="auto" w:after="40"/>
            </w:pPr>
            <w:r/>
            <w:r>
              <w:rPr>
                <w:rFonts w:ascii="Consolas" w:hAnsi="Consolas" w:eastAsia="Consolas"/>
                <w:b w:val="0"/>
                <w:sz w:val="19"/>
              </w:rPr>
              <w:t>animateTo</w:t>
            </w:r>
            <w:r>
              <w:rPr>
                <w:rFonts w:ascii="宋体" w:hAnsi="宋体" w:eastAsia="宋体"/>
                <w:b w:val="0"/>
                <w:sz w:val="20"/>
              </w:rPr>
              <w:t xml:space="preserve"> 动效调用</w:t>
            </w:r>
          </w:p>
        </w:tc>
        <w:tc>
          <w:tcPr>
            <w:tcW w:type="dxa" w:w="2304"/>
          </w:tcPr>
          <w:p>
            <w:pPr>
              <w:spacing w:line="300" w:lineRule="auto" w:after="40"/>
            </w:pPr>
            <w:r/>
            <w:r>
              <w:rPr>
                <w:rFonts w:ascii="宋体" w:hAnsi="宋体" w:eastAsia="宋体"/>
                <w:b w:val="0"/>
                <w:sz w:val="20"/>
              </w:rPr>
              <w:t>0 处</w:t>
            </w:r>
          </w:p>
        </w:tc>
        <w:tc>
          <w:tcPr>
            <w:tcW w:type="dxa" w:w="3456"/>
          </w:tcPr>
          <w:p>
            <w:pPr>
              <w:spacing w:line="300" w:lineRule="auto" w:after="40"/>
            </w:pPr>
            <w:r/>
            <w:r>
              <w:rPr>
                <w:rFonts w:ascii="宋体" w:hAnsi="宋体" w:eastAsia="宋体"/>
                <w:b w:val="0"/>
                <w:sz w:val="20"/>
              </w:rPr>
              <w:t>9 处</w:t>
            </w:r>
          </w:p>
        </w:tc>
      </w:tr>
      <w:tr>
        <w:trPr>
          <w:cantSplit/>
        </w:trPr>
        <w:tc>
          <w:tcPr>
            <w:tcW w:type="dxa" w:w="2880"/>
          </w:tcPr>
          <w:p>
            <w:pPr>
              <w:spacing w:line="300" w:lineRule="auto" w:after="40"/>
            </w:pPr>
            <w:r/>
            <w:r>
              <w:rPr>
                <w:rFonts w:ascii="宋体" w:hAnsi="宋体" w:eastAsia="宋体"/>
                <w:b w:val="0"/>
                <w:sz w:val="20"/>
              </w:rPr>
              <w:t>使用英雄区的页面</w:t>
            </w:r>
          </w:p>
        </w:tc>
        <w:tc>
          <w:tcPr>
            <w:tcW w:type="dxa" w:w="2304"/>
          </w:tcPr>
          <w:p>
            <w:pPr>
              <w:spacing w:line="300" w:lineRule="auto" w:after="40"/>
            </w:pPr>
            <w:r/>
            <w:r>
              <w:rPr>
                <w:rFonts w:ascii="宋体" w:hAnsi="宋体" w:eastAsia="宋体"/>
                <w:b w:val="0"/>
                <w:sz w:val="20"/>
              </w:rPr>
              <w:t>2 个</w:t>
            </w:r>
          </w:p>
        </w:tc>
        <w:tc>
          <w:tcPr>
            <w:tcW w:type="dxa" w:w="3456"/>
          </w:tcPr>
          <w:p>
            <w:pPr>
              <w:spacing w:line="300" w:lineRule="auto" w:after="40"/>
            </w:pPr>
            <w:r/>
            <w:r>
              <w:rPr>
                <w:rFonts w:ascii="宋体" w:hAnsi="宋体" w:eastAsia="宋体"/>
                <w:b w:val="0"/>
                <w:sz w:val="20"/>
              </w:rPr>
              <w:t>5 个</w:t>
            </w:r>
          </w:p>
        </w:tc>
      </w:tr>
      <w:tr>
        <w:trPr>
          <w:cantSplit/>
        </w:trPr>
        <w:tc>
          <w:tcPr>
            <w:tcW w:type="dxa" w:w="2880"/>
          </w:tcPr>
          <w:p>
            <w:pPr>
              <w:spacing w:line="300" w:lineRule="auto" w:after="40"/>
            </w:pPr>
            <w:r/>
            <w:r>
              <w:rPr>
                <w:rFonts w:ascii="宋体" w:hAnsi="宋体" w:eastAsia="宋体"/>
                <w:b w:val="0"/>
                <w:sz w:val="20"/>
              </w:rPr>
              <w:t>页面数</w:t>
            </w:r>
          </w:p>
        </w:tc>
        <w:tc>
          <w:tcPr>
            <w:tcW w:type="dxa" w:w="2304"/>
          </w:tcPr>
          <w:p>
            <w:pPr>
              <w:spacing w:line="300" w:lineRule="auto" w:after="40"/>
            </w:pPr>
            <w:r/>
            <w:r>
              <w:rPr>
                <w:rFonts w:ascii="宋体" w:hAnsi="宋体" w:eastAsia="宋体"/>
                <w:b w:val="0"/>
                <w:sz w:val="20"/>
              </w:rPr>
              <w:t>5 个</w:t>
            </w:r>
          </w:p>
        </w:tc>
        <w:tc>
          <w:tcPr>
            <w:tcW w:type="dxa" w:w="3456"/>
          </w:tcPr>
          <w:p>
            <w:pPr>
              <w:spacing w:line="300" w:lineRule="auto" w:after="40"/>
            </w:pPr>
            <w:r/>
            <w:r>
              <w:rPr>
                <w:rFonts w:ascii="宋体" w:hAnsi="宋体" w:eastAsia="宋体"/>
                <w:b w:val="0"/>
                <w:sz w:val="20"/>
              </w:rPr>
              <w:t>6 个（新增年度报告页）</w:t>
            </w:r>
          </w:p>
        </w:tc>
      </w:tr>
      <w:tr>
        <w:trPr>
          <w:cantSplit/>
        </w:trPr>
        <w:tc>
          <w:tcPr>
            <w:tcW w:type="dxa" w:w="2880"/>
          </w:tcPr>
          <w:p>
            <w:pPr>
              <w:spacing w:line="300" w:lineRule="auto" w:after="40"/>
            </w:pPr>
            <w:r/>
            <w:r>
              <w:rPr>
                <w:rFonts w:ascii="宋体" w:hAnsi="宋体" w:eastAsia="宋体"/>
                <w:b w:val="0"/>
                <w:sz w:val="20"/>
              </w:rPr>
              <w:t>功能回归</w:t>
            </w:r>
          </w:p>
        </w:tc>
        <w:tc>
          <w:tcPr>
            <w:tcW w:type="dxa" w:w="2304"/>
          </w:tcPr>
          <w:p>
            <w:pPr>
              <w:spacing w:line="300" w:lineRule="auto" w:after="40"/>
            </w:pPr>
            <w:r/>
            <w:r>
              <w:rPr>
                <w:rFonts w:ascii="宋体" w:hAnsi="宋体" w:eastAsia="宋体"/>
                <w:b w:val="0"/>
                <w:sz w:val="20"/>
              </w:rPr>
              <w:t>—</w:t>
            </w:r>
          </w:p>
        </w:tc>
        <w:tc>
          <w:tcPr>
            <w:tcW w:type="dxa" w:w="3456"/>
          </w:tcPr>
          <w:p>
            <w:pPr>
              <w:spacing w:line="300" w:lineRule="auto" w:after="40"/>
            </w:pPr>
            <w:r/>
            <w:r>
              <w:rPr>
                <w:rFonts w:ascii="宋体" w:hAnsi="宋体" w:eastAsia="宋体"/>
                <w:b w:val="0"/>
                <w:sz w:val="20"/>
              </w:rPr>
              <w:t>40 项纯逻辑断言全部通过</w:t>
            </w:r>
          </w:p>
        </w:tc>
      </w:tr>
    </w:tbl>
    <w:p>
      <w:pPr>
        <w:spacing w:after="40"/>
      </w:pPr>
    </w:p>
    <w:p>
      <w:pPr>
        <w:spacing w:line="312" w:lineRule="auto" w:after="200"/>
        <w:jc w:val="center"/>
      </w:pPr>
      <w:r>
        <w:rPr>
          <w:rFonts w:ascii="宋体" w:hAnsi="宋体" w:eastAsia="宋体"/>
          <w:b w:val="0"/>
          <w:color w:val="606060"/>
          <w:sz w:val="21"/>
        </w:rPr>
        <w:t>表 9  视觉改造前后的可复现量化对比</w:t>
      </w:r>
    </w:p>
    <w:p>
      <w:pPr>
        <w:spacing w:line="360" w:lineRule="auto" w:before="200" w:after="160"/>
      </w:pPr>
      <w:r>
        <w:rPr>
          <w:rFonts w:ascii="宋体" w:hAnsi="宋体" w:eastAsia="宋体"/>
          <w:b/>
          <w:sz w:val="28"/>
        </w:rPr>
        <w:t>3.12 界面设计：改造前后对比</w:t>
      </w:r>
    </w:p>
    <w:p>
      <w:pPr>
        <w:spacing w:line="360" w:lineRule="auto" w:after="120"/>
        <w:ind w:firstLine="480"/>
      </w:pPr>
      <w:r>
        <w:rPr>
          <w:rFonts w:ascii="宋体" w:hAnsi="宋体" w:eastAsia="宋体"/>
          <w:b w:val="0"/>
          <w:sz w:val="24"/>
        </w:rPr>
        <w:t>为了让改造效果可核对，作品把同一页面在相同数据下的截图做了并排对比。下面六组对比覆盖记一笔、看板（含环形图与热力图）、积分、科普、我的以及本次新增的年度报告页。</w:t>
      </w:r>
    </w:p>
    <w:p>
      <w:pPr>
        <w:spacing w:line="240" w:lineRule="auto" w:before="120" w:after="80"/>
        <w:jc w:val="center"/>
      </w:pPr>
      <w:r>
        <w:drawing>
          <wp:inline xmlns:a="http://schemas.openxmlformats.org/drawingml/2006/main" xmlns:pic="http://schemas.openxmlformats.org/drawingml/2006/picture">
            <wp:extent cx="5486400" cy="3459155"/>
            <wp:docPr id="15" name="Picture 15"/>
            <wp:cNvGraphicFramePr>
              <a:graphicFrameLocks noChangeAspect="1"/>
            </wp:cNvGraphicFramePr>
            <a:graphic>
              <a:graphicData uri="http://schemas.openxmlformats.org/drawingml/2006/picture">
                <pic:pic>
                  <pic:nvPicPr>
                    <pic:cNvPr id="0" name="改造前后对比-前端美化.png"/>
                    <pic:cNvPicPr/>
                  </pic:nvPicPr>
                  <pic:blipFill>
                    <a:blip r:embed="rId23"/>
                    <a:stretch>
                      <a:fillRect/>
                    </a:stretch>
                  </pic:blipFill>
                  <pic:spPr>
                    <a:xfrm>
                      <a:off x="0" y="0"/>
                      <a:ext cx="5486400" cy="3459155"/>
                    </a:xfrm>
                    <a:prstGeom prst="rect"/>
                  </pic:spPr>
                </pic:pic>
              </a:graphicData>
            </a:graphic>
          </wp:inline>
        </w:drawing>
      </w:r>
    </w:p>
    <w:p>
      <w:pPr>
        <w:spacing w:line="312" w:lineRule="auto" w:after="200"/>
        <w:jc w:val="center"/>
      </w:pPr>
      <w:r>
        <w:rPr>
          <w:rFonts w:ascii="宋体" w:hAnsi="宋体" w:eastAsia="宋体"/>
          <w:b w:val="0"/>
          <w:color w:val="606060"/>
          <w:sz w:val="21"/>
        </w:rPr>
        <w:t>图 15  六组「改造前 / 改造后」并排对比（含新增的年度报告页）</w:t>
      </w:r>
    </w:p>
    <w:p>
      <w:pPr>
        <w:spacing w:line="360" w:lineRule="auto" w:after="120"/>
        <w:ind w:firstLine="480"/>
      </w:pPr>
      <w:r>
        <w:rPr>
          <w:rFonts w:ascii="宋体" w:hAnsi="宋体" w:eastAsia="宋体"/>
          <w:b w:val="0"/>
          <w:sz w:val="24"/>
        </w:rPr>
        <w:t>对比中可以清楚看到三件事：一是改造前界面并非「没有设计」，而是设计令牌没有被执行——同样的卡片在改造前后用的是同一个品牌绿，差别在于层次、留白与阴影；二是</w:t>
      </w:r>
      <w:r>
        <w:rPr>
          <w:rFonts w:ascii="宋体" w:hAnsi="宋体" w:eastAsia="宋体"/>
          <w:b/>
          <w:sz w:val="24"/>
        </w:rPr>
        <w:t>信息密度不变而可读性提升</w:t>
      </w:r>
      <w:r>
        <w:rPr>
          <w:rFonts w:ascii="宋体" w:hAnsi="宋体" w:eastAsia="宋体"/>
          <w:b w:val="0"/>
          <w:sz w:val="24"/>
        </w:rPr>
        <w:t>，改造没有增加功能，只是把已有的信息重新组织；三是</w:t>
      </w:r>
      <w:r>
        <w:rPr>
          <w:rFonts w:ascii="宋体" w:hAnsi="宋体" w:eastAsia="宋体"/>
          <w:b/>
          <w:sz w:val="24"/>
        </w:rPr>
        <w:t>新增内容都落在已有语言里</w:t>
      </w:r>
      <w:r>
        <w:rPr>
          <w:rFonts w:ascii="宋体" w:hAnsi="宋体" w:eastAsia="宋体"/>
          <w:b w:val="0"/>
          <w:sz w:val="24"/>
        </w:rPr>
        <w:t>，年度报告页与热力图虽然是新页面，但用的是同一套英雄区、卡片与配色，因此不显得突兀。</w:t>
      </w:r>
    </w:p>
    <w:p>
      <w:pPr>
        <w:spacing w:line="240" w:lineRule="auto" w:before="120" w:after="80"/>
        <w:jc w:val="center"/>
      </w:pPr>
      <w:r>
        <w:drawing>
          <wp:inline xmlns:a="http://schemas.openxmlformats.org/drawingml/2006/main" xmlns:pic="http://schemas.openxmlformats.org/drawingml/2006/picture">
            <wp:extent cx="4754880" cy="3326130"/>
            <wp:docPr id="16" name="Picture 16"/>
            <wp:cNvGraphicFramePr>
              <a:graphicFrameLocks noChangeAspect="1"/>
            </wp:cNvGraphicFramePr>
            <a:graphic>
              <a:graphicData uri="http://schemas.openxmlformats.org/drawingml/2006/picture">
                <pic:pic>
                  <pic:nvPicPr>
                    <pic:cNvPr id="0" name="图标集-预览.png"/>
                    <pic:cNvPicPr/>
                  </pic:nvPicPr>
                  <pic:blipFill>
                    <a:blip r:embed="rId24"/>
                    <a:stretch>
                      <a:fillRect/>
                    </a:stretch>
                  </pic:blipFill>
                  <pic:spPr>
                    <a:xfrm>
                      <a:off x="0" y="0"/>
                      <a:ext cx="4754880" cy="3326130"/>
                    </a:xfrm>
                    <a:prstGeom prst="rect"/>
                  </pic:spPr>
                </pic:pic>
              </a:graphicData>
            </a:graphic>
          </wp:inline>
        </w:drawing>
      </w:r>
    </w:p>
    <w:p>
      <w:pPr>
        <w:spacing w:line="312" w:lineRule="auto" w:after="200"/>
        <w:jc w:val="center"/>
      </w:pPr>
      <w:r>
        <w:rPr>
          <w:rFonts w:ascii="宋体" w:hAnsi="宋体" w:eastAsia="宋体"/>
          <w:b w:val="0"/>
          <w:color w:val="606060"/>
          <w:sz w:val="21"/>
        </w:rPr>
        <w:t>图 16  自绘图标集总览：统一 24×24 画布与填充式造型，含本次新绘 / 重绘的 8 个图标</w:t>
      </w:r>
    </w:p>
    <w:p>
      <w:pPr>
        <w:spacing w:line="360" w:lineRule="auto" w:after="120"/>
        <w:ind w:firstLine="480"/>
      </w:pPr>
      <w:r>
        <w:rPr>
          <w:rFonts w:ascii="宋体" w:hAnsi="宋体" w:eastAsia="宋体"/>
          <w:b w:val="0"/>
          <w:sz w:val="24"/>
        </w:rPr>
        <w:t>图标体系同样是工程化产物：图标由脚本批量生成并带边界自检，会检测内容是否被画布裁切（实测抓出并修掉了一个底部被裁的火焰图标）。</w:t>
      </w:r>
    </w:p>
    <w:p>
      <w:pPr>
        <w:spacing w:line="360" w:lineRule="auto" w:before="200" w:after="160"/>
      </w:pPr>
      <w:r>
        <w:rPr>
          <w:rFonts w:ascii="宋体" w:hAnsi="宋体" w:eastAsia="宋体"/>
          <w:b/>
          <w:sz w:val="28"/>
        </w:rPr>
        <w:t>3.13 新增页面：我的年度碳迹</w:t>
      </w:r>
    </w:p>
    <w:p>
      <w:pPr>
        <w:spacing w:line="360" w:lineRule="auto" w:after="120"/>
        <w:ind w:firstLine="480"/>
      </w:pPr>
      <w:r>
        <w:rPr>
          <w:rFonts w:ascii="宋体" w:hAnsi="宋体" w:eastAsia="宋体"/>
          <w:b w:val="0"/>
          <w:sz w:val="24"/>
        </w:rPr>
        <w:t>年度报告页是本次改造新增的第 6 个页面，从看板的入口横幅一键进入。它把分散在四个图表里的全年数据收拢到一页：封面给出年度、低碳称号、活跃天数与记录条数；正文依次给出全年累计减排、等效植树量、低碳记录条数、碳积分，以及按类目分解的减排构成条形图。</w:t>
      </w:r>
    </w:p>
    <w:p>
      <w:pPr>
        <w:spacing w:line="360" w:lineRule="auto" w:after="120"/>
        <w:ind w:firstLine="480"/>
      </w:pPr>
      <w:r>
        <w:rPr>
          <w:rFonts w:ascii="宋体" w:hAnsi="宋体" w:eastAsia="宋体"/>
          <w:b w:val="0"/>
          <w:sz w:val="24"/>
        </w:rPr>
        <w:t>这一页的设计目标是「一页读完一年」，因此口径必须与看板严格一致：减排构成的比例、颜色与看板环形图一一对应，等效植树量按「1 棵树·年 ≈ 18 kg CO₂e」折算并在页面底部写明口径，同时明确标注「数据全部保存在本机，不上传云端」。</w:t>
      </w:r>
    </w:p>
    <w:tbl>
      <w:tblPr>
        <w:tblW w:type="auto" w:w="0"/>
        <w:jc w:val="center"/>
        <w:tblLayout w:type="fixed"/>
        <w:tblLook w:firstColumn="1" w:firstRow="1" w:lastColumn="0" w:lastRow="0" w:noHBand="0" w:noVBand="1" w:val="04A0"/>
      </w:tblPr>
      <w:tblGrid>
        <w:gridCol w:w="4320"/>
        <w:gridCol w:w="4320"/>
      </w:tblGrid>
      <w:tr>
        <w:trPr>
          <w:cantSplit/>
        </w:trPr>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17" name="Picture 17"/>
                  <wp:cNvGraphicFramePr>
                    <a:graphicFrameLocks noChangeAspect="1"/>
                  </wp:cNvGraphicFramePr>
                  <a:graphic>
                    <a:graphicData uri="http://schemas.openxmlformats.org/drawingml/2006/picture">
                      <pic:pic>
                        <pic:nvPicPr>
                          <pic:cNvPr id="0" name="17-年度报告-封面.jpeg"/>
                          <pic:cNvPicPr/>
                        </pic:nvPicPr>
                        <pic:blipFill>
                          <a:blip r:embed="rId25"/>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17  年度报告封面：2026 年度、低碳称号、活跃天数与核心数字卡</w:t>
            </w:r>
          </w:p>
        </w:tc>
        <w:tc>
          <w:tcPr>
            <w:tcW w:type="dxa" w:w="4320"/>
            <w:vAlign w:val="top"/>
          </w:tcPr>
          <w:p>
            <w:pPr>
              <w:spacing w:line="240" w:lineRule="auto" w:after="60"/>
              <w:jc w:val="center"/>
            </w:pPr>
            <w:r>
              <w:drawing>
                <wp:inline xmlns:a="http://schemas.openxmlformats.org/drawingml/2006/main" xmlns:pic="http://schemas.openxmlformats.org/drawingml/2006/picture">
                  <wp:extent cx="2057400" cy="3478877"/>
                  <wp:docPr id="18" name="Picture 18"/>
                  <wp:cNvGraphicFramePr>
                    <a:graphicFrameLocks noChangeAspect="1"/>
                  </wp:cNvGraphicFramePr>
                  <a:graphic>
                    <a:graphicData uri="http://schemas.openxmlformats.org/drawingml/2006/picture">
                      <pic:pic>
                        <pic:nvPicPr>
                          <pic:cNvPr id="0" name="18-年度报告-细节.jpeg"/>
                          <pic:cNvPicPr/>
                        </pic:nvPicPr>
                        <pic:blipFill>
                          <a:blip r:embed="rId26"/>
                          <a:stretch>
                            <a:fillRect/>
                          </a:stretch>
                        </pic:blipFill>
                        <pic:spPr>
                          <a:xfrm>
                            <a:off x="0" y="0"/>
                            <a:ext cx="2057400" cy="3478877"/>
                          </a:xfrm>
                          <a:prstGeom prst="rect"/>
                        </pic:spPr>
                      </pic:pic>
                    </a:graphicData>
                  </a:graphic>
                </wp:inline>
              </w:drawing>
            </w:r>
          </w:p>
          <w:p>
            <w:pPr>
              <w:spacing w:line="252" w:lineRule="auto" w:after="200"/>
              <w:jc w:val="center"/>
            </w:pPr>
            <w:r>
              <w:rPr>
                <w:rFonts w:ascii="宋体" w:hAnsi="宋体" w:eastAsia="宋体"/>
                <w:b w:val="0"/>
                <w:color w:val="606060"/>
                <w:sz w:val="19"/>
              </w:rPr>
              <w:t>图 18  碳积分 1,462 分、减排构成（四色条形）与「写在最后」</w:t>
            </w:r>
          </w:p>
        </w:tc>
      </w:tr>
    </w:tbl>
    <w:p>
      <w:r>
        <w:br w:type="page"/>
      </w:r>
    </w:p>
    <w:p>
      <w:pPr>
        <w:spacing w:line="360" w:lineRule="auto" w:before="280" w:after="160"/>
      </w:pPr>
      <w:r>
        <w:rPr>
          <w:rFonts w:ascii="黑体" w:hAnsi="黑体" w:eastAsia="黑体"/>
          <w:b/>
          <w:color w:val="1F9A4E"/>
          <w:sz w:val="32"/>
        </w:rPr>
        <w:t>四、软硬件选型</w:t>
      </w:r>
    </w:p>
    <w:p>
      <w:pPr>
        <w:spacing w:line="360" w:lineRule="auto" w:before="200" w:after="160"/>
      </w:pPr>
      <w:r>
        <w:rPr>
          <w:rFonts w:ascii="宋体" w:hAnsi="宋体" w:eastAsia="宋体"/>
          <w:b/>
          <w:sz w:val="28"/>
        </w:rPr>
        <w:t>4.1 软件选型</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1440"/>
          </w:tcPr>
          <w:p>
            <w:pPr>
              <w:spacing w:line="300" w:lineRule="auto" w:after="40"/>
              <w:jc w:val="center"/>
            </w:pPr>
            <w:r/>
            <w:r>
              <w:rPr>
                <w:rFonts w:ascii="宋体" w:hAnsi="宋体" w:eastAsia="宋体"/>
                <w:b/>
                <w:sz w:val="20"/>
              </w:rPr>
              <w:t>用途</w:t>
            </w:r>
          </w:p>
        </w:tc>
        <w:tc>
          <w:tcPr>
            <w:tcW w:type="dxa" w:w="2880"/>
          </w:tcPr>
          <w:p>
            <w:pPr>
              <w:spacing w:line="300" w:lineRule="auto" w:after="40"/>
              <w:jc w:val="center"/>
            </w:pPr>
            <w:r/>
            <w:r>
              <w:rPr>
                <w:rFonts w:ascii="宋体" w:hAnsi="宋体" w:eastAsia="宋体"/>
                <w:b/>
                <w:sz w:val="20"/>
              </w:rPr>
              <w:t>选型</w:t>
            </w:r>
          </w:p>
        </w:tc>
        <w:tc>
          <w:tcPr>
            <w:tcW w:type="dxa" w:w="4320"/>
          </w:tcPr>
          <w:p>
            <w:pPr>
              <w:spacing w:line="300" w:lineRule="auto" w:after="40"/>
              <w:jc w:val="center"/>
            </w:pPr>
            <w:r/>
            <w:r>
              <w:rPr>
                <w:rFonts w:ascii="宋体" w:hAnsi="宋体" w:eastAsia="宋体"/>
                <w:b/>
                <w:sz w:val="20"/>
              </w:rPr>
              <w:t>选型理由</w:t>
            </w:r>
          </w:p>
        </w:tc>
      </w:tr>
      <w:tr>
        <w:trPr>
          <w:cantSplit/>
        </w:trPr>
        <w:tc>
          <w:tcPr>
            <w:tcW w:type="dxa" w:w="1440"/>
          </w:tcPr>
          <w:p>
            <w:pPr>
              <w:spacing w:line="300" w:lineRule="auto" w:after="40"/>
            </w:pPr>
            <w:r/>
            <w:r>
              <w:rPr>
                <w:rFonts w:ascii="宋体" w:hAnsi="宋体" w:eastAsia="宋体"/>
                <w:b w:val="0"/>
                <w:sz w:val="20"/>
              </w:rPr>
              <w:t>开发框架</w:t>
            </w:r>
          </w:p>
        </w:tc>
        <w:tc>
          <w:tcPr>
            <w:tcW w:type="dxa" w:w="2880"/>
          </w:tcPr>
          <w:p>
            <w:pPr>
              <w:spacing w:line="300" w:lineRule="auto" w:after="40"/>
            </w:pPr>
            <w:r/>
            <w:r>
              <w:rPr>
                <w:rFonts w:ascii="宋体" w:hAnsi="宋体" w:eastAsia="宋体"/>
                <w:b w:val="0"/>
                <w:sz w:val="20"/>
              </w:rPr>
              <w:t>ArkTS ＋ ArkUI 声明式开发</w:t>
            </w:r>
          </w:p>
        </w:tc>
        <w:tc>
          <w:tcPr>
            <w:tcW w:type="dxa" w:w="4320"/>
          </w:tcPr>
          <w:p>
            <w:pPr>
              <w:spacing w:line="300" w:lineRule="auto" w:after="40"/>
            </w:pPr>
            <w:r/>
            <w:r>
              <w:rPr>
                <w:rFonts w:ascii="宋体" w:hAnsi="宋体" w:eastAsia="宋体"/>
                <w:b w:val="0"/>
                <w:sz w:val="20"/>
              </w:rPr>
              <w:t>鸿蒙原生开发语言，类型安全，声明式 UI 有利于状态管理</w:t>
            </w:r>
          </w:p>
        </w:tc>
      </w:tr>
      <w:tr>
        <w:trPr>
          <w:cantSplit/>
        </w:trPr>
        <w:tc>
          <w:tcPr>
            <w:tcW w:type="dxa" w:w="1440"/>
          </w:tcPr>
          <w:p>
            <w:pPr>
              <w:spacing w:line="300" w:lineRule="auto" w:after="40"/>
            </w:pPr>
            <w:r/>
            <w:r>
              <w:rPr>
                <w:rFonts w:ascii="宋体" w:hAnsi="宋体" w:eastAsia="宋体"/>
                <w:b w:val="0"/>
                <w:sz w:val="20"/>
              </w:rPr>
              <w:t>数据存储</w:t>
            </w:r>
          </w:p>
        </w:tc>
        <w:tc>
          <w:tcPr>
            <w:tcW w:type="dxa" w:w="2880"/>
          </w:tcPr>
          <w:p>
            <w:pPr>
              <w:spacing w:line="300" w:lineRule="auto" w:after="40"/>
            </w:pPr>
            <w:r/>
            <w:r>
              <w:rPr>
                <w:rFonts w:ascii="宋体" w:hAnsi="宋体" w:eastAsia="宋体"/>
                <w:b w:val="0"/>
                <w:sz w:val="20"/>
              </w:rPr>
              <w:t>distributedKVStore（分布式键值库）</w:t>
            </w:r>
          </w:p>
        </w:tc>
        <w:tc>
          <w:tcPr>
            <w:tcW w:type="dxa" w:w="4320"/>
          </w:tcPr>
          <w:p>
            <w:pPr>
              <w:spacing w:line="300" w:lineRule="auto" w:after="40"/>
            </w:pPr>
            <w:r/>
            <w:r>
              <w:rPr>
                <w:rFonts w:ascii="宋体" w:hAnsi="宋体" w:eastAsia="宋体"/>
                <w:b w:val="0"/>
                <w:sz w:val="20"/>
              </w:rPr>
              <w:t>为创新拓展 1 的多设备同步预留通道，避免后期重构数据层</w:t>
            </w:r>
          </w:p>
        </w:tc>
      </w:tr>
      <w:tr>
        <w:trPr>
          <w:cantSplit/>
        </w:trPr>
        <w:tc>
          <w:tcPr>
            <w:tcW w:type="dxa" w:w="1440"/>
          </w:tcPr>
          <w:p>
            <w:pPr>
              <w:spacing w:line="300" w:lineRule="auto" w:after="40"/>
            </w:pPr>
            <w:r/>
            <w:r>
              <w:rPr>
                <w:rFonts w:ascii="宋体" w:hAnsi="宋体" w:eastAsia="宋体"/>
                <w:b w:val="0"/>
                <w:sz w:val="20"/>
              </w:rPr>
              <w:t>设备发现与同步</w:t>
            </w:r>
          </w:p>
        </w:tc>
        <w:tc>
          <w:tcPr>
            <w:tcW w:type="dxa" w:w="2880"/>
          </w:tcPr>
          <w:p>
            <w:pPr>
              <w:spacing w:line="300" w:lineRule="auto" w:after="40"/>
            </w:pPr>
            <w:r/>
            <w:r>
              <w:rPr>
                <w:rFonts w:ascii="宋体" w:hAnsi="宋体" w:eastAsia="宋体"/>
                <w:b w:val="0"/>
                <w:sz w:val="20"/>
              </w:rPr>
              <w:t>distributedDeviceManager ＋ 分布式数据服务</w:t>
            </w:r>
          </w:p>
        </w:tc>
        <w:tc>
          <w:tcPr>
            <w:tcW w:type="dxa" w:w="4320"/>
          </w:tcPr>
          <w:p>
            <w:pPr>
              <w:spacing w:line="300" w:lineRule="auto" w:after="40"/>
            </w:pPr>
            <w:r/>
            <w:r>
              <w:rPr>
                <w:rFonts w:ascii="宋体" w:hAnsi="宋体" w:eastAsia="宋体"/>
                <w:b w:val="0"/>
                <w:sz w:val="20"/>
              </w:rPr>
              <w:t>鸿蒙原生分布式能力，无需自建服务端</w:t>
            </w:r>
          </w:p>
        </w:tc>
      </w:tr>
      <w:tr>
        <w:trPr>
          <w:cantSplit/>
        </w:trPr>
        <w:tc>
          <w:tcPr>
            <w:tcW w:type="dxa" w:w="1440"/>
          </w:tcPr>
          <w:p>
            <w:pPr>
              <w:spacing w:line="300" w:lineRule="auto" w:after="40"/>
            </w:pPr>
            <w:r/>
            <w:r>
              <w:rPr>
                <w:rFonts w:ascii="宋体" w:hAnsi="宋体" w:eastAsia="宋体"/>
                <w:b w:val="0"/>
                <w:sz w:val="20"/>
              </w:rPr>
              <w:t>图表绘制</w:t>
            </w:r>
          </w:p>
        </w:tc>
        <w:tc>
          <w:tcPr>
            <w:tcW w:type="dxa" w:w="2880"/>
          </w:tcPr>
          <w:p>
            <w:pPr>
              <w:spacing w:line="300" w:lineRule="auto" w:after="40"/>
            </w:pPr>
            <w:r/>
            <w:r>
              <w:rPr>
                <w:rFonts w:ascii="宋体" w:hAnsi="宋体" w:eastAsia="宋体"/>
                <w:b w:val="0"/>
                <w:sz w:val="20"/>
              </w:rPr>
              <w:t>OpenHarmony-TPC 官方图表组件库</w:t>
            </w:r>
          </w:p>
        </w:tc>
        <w:tc>
          <w:tcPr>
            <w:tcW w:type="dxa" w:w="4320"/>
          </w:tcPr>
          <w:p>
            <w:pPr>
              <w:spacing w:line="300" w:lineRule="auto" w:after="40"/>
            </w:pPr>
            <w:r/>
            <w:r>
              <w:rPr>
                <w:rFonts w:ascii="宋体" w:hAnsi="宋体" w:eastAsia="宋体"/>
                <w:b w:val="0"/>
                <w:sz w:val="20"/>
              </w:rPr>
              <w:t>纯 ArkTS 源码、可离线运行、支持折线／柱状／饼图，且源码可读可改，遇到问题不依赖第三方修复</w:t>
            </w:r>
          </w:p>
        </w:tc>
      </w:tr>
      <w:tr>
        <w:trPr>
          <w:cantSplit/>
        </w:trPr>
        <w:tc>
          <w:tcPr>
            <w:tcW w:type="dxa" w:w="1440"/>
          </w:tcPr>
          <w:p>
            <w:pPr>
              <w:spacing w:line="300" w:lineRule="auto" w:after="40"/>
            </w:pPr>
            <w:r/>
            <w:r>
              <w:rPr>
                <w:rFonts w:ascii="宋体" w:hAnsi="宋体" w:eastAsia="宋体"/>
                <w:b w:val="0"/>
                <w:sz w:val="20"/>
              </w:rPr>
              <w:t>端侧推理</w:t>
            </w:r>
          </w:p>
        </w:tc>
        <w:tc>
          <w:tcPr>
            <w:tcW w:type="dxa" w:w="2880"/>
          </w:tcPr>
          <w:p>
            <w:pPr>
              <w:spacing w:line="300" w:lineRule="auto" w:after="40"/>
            </w:pPr>
            <w:r/>
            <w:r>
              <w:rPr>
                <w:rFonts w:ascii="宋体" w:hAnsi="宋体" w:eastAsia="宋体"/>
                <w:b w:val="0"/>
                <w:sz w:val="20"/>
              </w:rPr>
              <w:t>MindSpore Lite ＋ MobileNetV2</w:t>
            </w:r>
          </w:p>
        </w:tc>
        <w:tc>
          <w:tcPr>
            <w:tcW w:type="dxa" w:w="4320"/>
          </w:tcPr>
          <w:p>
            <w:pPr>
              <w:spacing w:line="300" w:lineRule="auto" w:after="40"/>
            </w:pPr>
            <w:r/>
            <w:r>
              <w:rPr>
                <w:rFonts w:ascii="宋体" w:hAnsi="宋体" w:eastAsia="宋体"/>
                <w:b w:val="0"/>
                <w:sz w:val="20"/>
              </w:rPr>
              <w:t>鸿蒙原生端侧推理框架，模型随包内置，推理全程离线</w:t>
            </w:r>
          </w:p>
        </w:tc>
      </w:tr>
      <w:tr>
        <w:trPr>
          <w:cantSplit/>
        </w:trPr>
        <w:tc>
          <w:tcPr>
            <w:tcW w:type="dxa" w:w="1440"/>
          </w:tcPr>
          <w:p>
            <w:pPr>
              <w:spacing w:line="300" w:lineRule="auto" w:after="40"/>
            </w:pPr>
            <w:r/>
            <w:r>
              <w:rPr>
                <w:rFonts w:ascii="宋体" w:hAnsi="宋体" w:eastAsia="宋体"/>
                <w:b w:val="0"/>
                <w:sz w:val="20"/>
              </w:rPr>
              <w:t>文字识别</w:t>
            </w:r>
          </w:p>
        </w:tc>
        <w:tc>
          <w:tcPr>
            <w:tcW w:type="dxa" w:w="2880"/>
          </w:tcPr>
          <w:p>
            <w:pPr>
              <w:spacing w:line="300" w:lineRule="auto" w:after="40"/>
            </w:pPr>
            <w:r/>
            <w:r>
              <w:rPr>
                <w:rFonts w:ascii="宋体" w:hAnsi="宋体" w:eastAsia="宋体"/>
                <w:b w:val="0"/>
                <w:sz w:val="20"/>
              </w:rPr>
              <w:t>Core Vision Kit（端侧文字识别）</w:t>
            </w:r>
          </w:p>
        </w:tc>
        <w:tc>
          <w:tcPr>
            <w:tcW w:type="dxa" w:w="4320"/>
          </w:tcPr>
          <w:p>
            <w:pPr>
              <w:spacing w:line="300" w:lineRule="auto" w:after="40"/>
            </w:pPr>
            <w:r/>
            <w:r>
              <w:rPr>
                <w:rFonts w:ascii="宋体" w:hAnsi="宋体" w:eastAsia="宋体"/>
                <w:b w:val="0"/>
                <w:sz w:val="20"/>
              </w:rPr>
              <w:t>系统内置能力，无需联网，作为视觉通路的保底方案</w:t>
            </w:r>
          </w:p>
        </w:tc>
      </w:tr>
      <w:tr>
        <w:trPr>
          <w:cantSplit/>
        </w:trPr>
        <w:tc>
          <w:tcPr>
            <w:tcW w:type="dxa" w:w="1440"/>
          </w:tcPr>
          <w:p>
            <w:pPr>
              <w:spacing w:line="300" w:lineRule="auto" w:after="40"/>
            </w:pPr>
            <w:r/>
            <w:r>
              <w:rPr>
                <w:rFonts w:ascii="宋体" w:hAnsi="宋体" w:eastAsia="宋体"/>
                <w:b w:val="0"/>
                <w:sz w:val="20"/>
              </w:rPr>
              <w:t>图片处理与分享</w:t>
            </w:r>
          </w:p>
        </w:tc>
        <w:tc>
          <w:tcPr>
            <w:tcW w:type="dxa" w:w="2880"/>
          </w:tcPr>
          <w:p>
            <w:pPr>
              <w:spacing w:line="300" w:lineRule="auto" w:after="40"/>
            </w:pPr>
            <w:r/>
            <w:r>
              <w:rPr>
                <w:rFonts w:ascii="宋体" w:hAnsi="宋体" w:eastAsia="宋体"/>
                <w:b w:val="0"/>
                <w:sz w:val="20"/>
              </w:rPr>
              <w:t>Image Kit ＋ ArkUI 组件快照 ＋ MediaLibraryKit</w:t>
            </w:r>
          </w:p>
        </w:tc>
        <w:tc>
          <w:tcPr>
            <w:tcW w:type="dxa" w:w="4320"/>
          </w:tcPr>
          <w:p>
            <w:pPr>
              <w:spacing w:line="300" w:lineRule="auto" w:after="40"/>
            </w:pPr>
            <w:r/>
            <w:r>
              <w:rPr>
                <w:rFonts w:ascii="宋体" w:hAnsi="宋体" w:eastAsia="宋体"/>
                <w:b w:val="0"/>
                <w:sz w:val="20"/>
              </w:rPr>
              <w:t>系统原生能力，保存到相册通过安全控件授权，无需申请敏感权限</w:t>
            </w:r>
          </w:p>
        </w:tc>
      </w:tr>
    </w:tbl>
    <w:p>
      <w:pPr>
        <w:spacing w:after="40"/>
      </w:pPr>
    </w:p>
    <w:p>
      <w:pPr>
        <w:spacing w:line="312" w:lineRule="auto" w:after="200"/>
        <w:jc w:val="center"/>
      </w:pPr>
      <w:r>
        <w:rPr>
          <w:rFonts w:ascii="宋体" w:hAnsi="宋体" w:eastAsia="宋体"/>
          <w:b w:val="0"/>
          <w:color w:val="606060"/>
          <w:sz w:val="21"/>
        </w:rPr>
        <w:t>表 5  软件选型</w:t>
      </w:r>
    </w:p>
    <w:p>
      <w:pPr>
        <w:spacing w:line="360" w:lineRule="auto" w:before="200" w:after="160"/>
      </w:pPr>
      <w:r>
        <w:rPr>
          <w:rFonts w:ascii="宋体" w:hAnsi="宋体" w:eastAsia="宋体"/>
          <w:b/>
          <w:sz w:val="28"/>
        </w:rPr>
        <w:t>4.2 硬件选型</w:t>
      </w:r>
    </w:p>
    <w:p>
      <w:pPr>
        <w:spacing w:line="360" w:lineRule="auto" w:after="120"/>
        <w:ind w:firstLine="480"/>
      </w:pPr>
      <w:r>
        <w:rPr>
          <w:rFonts w:ascii="宋体" w:hAnsi="宋体" w:eastAsia="宋体"/>
          <w:b w:val="0"/>
          <w:sz w:val="24"/>
        </w:rPr>
        <w:t>本作品属于赛题分类中的「纯北向应用开发类」，按赛题说明「使用鸿蒙手机、平板或模拟器即可完成开发，无需额外采购硬件」，因此硬件需求仅为运行鸿蒙系统的手机或平板一台（开发阶段可使用模拟器）。若要完整体验创新拓展 1 的多设备同步能力，建议准备两台设备。</w:t>
      </w:r>
    </w:p>
    <w:p>
      <w:pPr>
        <w:spacing w:line="360" w:lineRule="auto" w:after="120"/>
        <w:ind w:firstLine="480"/>
      </w:pPr>
      <w:r>
        <w:rPr>
          <w:rFonts w:ascii="宋体" w:hAnsi="宋体" w:eastAsia="宋体"/>
          <w:b w:val="0"/>
          <w:sz w:val="24"/>
        </w:rPr>
        <w:t>作品未使用任何开源鸿蒙开发板、传感器模组或通信模组，在硬件成本与部署复杂度上具有明显优势。</w:t>
      </w:r>
    </w:p>
    <w:p>
      <w:r>
        <w:br w:type="page"/>
      </w:r>
    </w:p>
    <w:p>
      <w:pPr>
        <w:spacing w:line="360" w:lineRule="auto" w:before="280" w:after="160"/>
      </w:pPr>
      <w:r>
        <w:rPr>
          <w:rFonts w:ascii="黑体" w:hAnsi="黑体" w:eastAsia="黑体"/>
          <w:b/>
          <w:color w:val="1F9A4E"/>
          <w:sz w:val="32"/>
        </w:rPr>
        <w:t>五、碳排放因子库数据来源与折算方法</w:t>
      </w:r>
    </w:p>
    <w:p>
      <w:pPr>
        <w:spacing w:line="360" w:lineRule="auto" w:after="120"/>
        <w:ind w:firstLine="480"/>
      </w:pPr>
      <w:r>
        <w:rPr>
          <w:rFonts w:ascii="宋体" w:hAnsi="宋体" w:eastAsia="宋体"/>
          <w:b w:val="0"/>
          <w:sz w:val="24"/>
        </w:rPr>
        <w:t>本章是作品严谨性的核心，也是答辩时的重点说明内容。</w:t>
      </w:r>
    </w:p>
    <w:p>
      <w:pPr>
        <w:spacing w:line="360" w:lineRule="auto" w:before="200" w:after="160"/>
      </w:pPr>
      <w:r>
        <w:rPr>
          <w:rFonts w:ascii="宋体" w:hAnsi="宋体" w:eastAsia="宋体"/>
          <w:b/>
          <w:sz w:val="28"/>
        </w:rPr>
        <w:t>5.1 折算公式</w:t>
      </w:r>
    </w:p>
    <w:p>
      <w:pPr>
        <w:spacing w:line="360" w:lineRule="auto" w:after="120"/>
      </w:pPr>
      <w:r>
        <w:rPr>
          <w:rFonts w:ascii="宋体" w:hAnsi="宋体" w:eastAsia="宋体"/>
          <w:b w:val="0"/>
          <w:sz w:val="24"/>
        </w:rPr>
        <w:t>减排量按「基准情景与实际情景的差值」计算，公式为：</w:t>
      </w:r>
    </w:p>
    <w:p>
      <w:pPr>
        <w:spacing w:line="360" w:lineRule="auto"/>
        <w:jc w:val="center"/>
      </w:pPr>
      <w:r>
        <w:rPr>
          <w:rFonts w:ascii="宋体" w:hAnsi="宋体" w:eastAsia="宋体"/>
          <w:b/>
          <w:sz w:val="26"/>
        </w:rPr>
        <w:t>ER = AD × ( EF基准 − EF实际 )</w:t>
      </w:r>
    </w:p>
    <w:p>
      <w:pPr>
        <w:spacing w:line="360" w:lineRule="auto" w:after="120"/>
        <w:ind w:firstLine="480"/>
      </w:pPr>
      <w:r>
        <w:rPr>
          <w:rFonts w:ascii="宋体" w:hAnsi="宋体" w:eastAsia="宋体"/>
          <w:b w:val="0"/>
          <w:sz w:val="24"/>
        </w:rPr>
        <w:t>其中：ER 为减排量（kg CO₂e）；AD 为活动量（公里／度／立方米／公斤／餐次）；EF基准 为被替代的高碳行为的排放因子；EF实际 为实际低碳行为的排放因子。</w:t>
      </w:r>
    </w:p>
    <w:p>
      <w:pPr>
        <w:spacing w:line="360" w:lineRule="auto" w:after="120"/>
        <w:ind w:firstLine="480"/>
      </w:pPr>
      <w:r>
        <w:rPr>
          <w:rFonts w:ascii="宋体" w:hAnsi="宋体" w:eastAsia="宋体"/>
          <w:b w:val="0"/>
          <w:sz w:val="24"/>
        </w:rPr>
        <w:t>需要特别强调：应用内所有因子的数值都已经是「基准情景与实际情景的差值」，即减排量而非排放量。每条因子的基准情景都在应用界面与下表中有明确标注。</w:t>
      </w:r>
    </w:p>
    <w:p>
      <w:pPr>
        <w:spacing w:line="360" w:lineRule="auto" w:before="200" w:after="160"/>
      </w:pPr>
      <w:r>
        <w:rPr>
          <w:rFonts w:ascii="宋体" w:hAnsi="宋体" w:eastAsia="宋体"/>
          <w:b/>
          <w:sz w:val="28"/>
        </w:rPr>
        <w:t>5.2 数据来源</w:t>
      </w:r>
    </w:p>
    <w:p>
      <w:pPr>
        <w:spacing w:line="360" w:lineRule="auto" w:after="120"/>
        <w:ind w:firstLine="480"/>
      </w:pPr>
      <w:r>
        <w:rPr>
          <w:rFonts w:ascii="宋体" w:hAnsi="宋体" w:eastAsia="宋体"/>
          <w:b w:val="0"/>
          <w:sz w:val="24"/>
        </w:rPr>
        <w:t>因子数据来自以下四类来源，按可信度与适用性排序：</w:t>
      </w:r>
    </w:p>
    <w:p>
      <w:pPr>
        <w:pStyle w:val="ListBullet"/>
        <w:spacing w:line="360" w:lineRule="auto" w:after="60"/>
      </w:pPr>
      <w:r>
        <w:rPr>
          <w:rFonts w:ascii="宋体" w:hAnsi="宋体" w:eastAsia="宋体"/>
          <w:b w:val="0"/>
          <w:sz w:val="24"/>
        </w:rPr>
        <w:t>中国产品全生命周期温室气体排放系数库（CPCD）：中国本土数据，用于出行类与回收塑料。</w:t>
      </w:r>
    </w:p>
    <w:p>
      <w:pPr>
        <w:pStyle w:val="ListBullet"/>
        <w:spacing w:line="360" w:lineRule="auto" w:after="60"/>
      </w:pPr>
      <w:r>
        <w:rPr>
          <w:rFonts w:ascii="宋体" w:hAnsi="宋体" w:eastAsia="宋体"/>
          <w:b w:val="0"/>
          <w:sz w:val="24"/>
        </w:rPr>
        <w:t>生态环境部、国家统计局《关于发布 2023 年电力二氧化碳排放因子的公告》（公告 2025 年第 47 号）：用于节约用电类。</w:t>
      </w:r>
    </w:p>
    <w:p>
      <w:pPr>
        <w:pStyle w:val="ListBullet"/>
        <w:spacing w:line="360" w:lineRule="auto" w:after="60"/>
      </w:pPr>
      <w:r>
        <w:rPr>
          <w:rFonts w:ascii="宋体" w:hAnsi="宋体" w:eastAsia="宋体"/>
          <w:b w:val="0"/>
          <w:sz w:val="24"/>
        </w:rPr>
        <w:t>英国环境、食品和农村事务部（DEFRA）温室气体换算因子：用于中国官方尚未发布对应因子的条目，包括回收废纸、回收铝、回收旧衣物以及供水与污水处理。</w:t>
      </w:r>
    </w:p>
    <w:p>
      <w:pPr>
        <w:pStyle w:val="ListBullet"/>
        <w:spacing w:line="360" w:lineRule="auto" w:after="60"/>
      </w:pPr>
      <w:r>
        <w:rPr>
          <w:rFonts w:ascii="宋体" w:hAnsi="宋体" w:eastAsia="宋体"/>
          <w:b w:val="0"/>
          <w:sz w:val="24"/>
        </w:rPr>
        <w:t>中国科学院地理科学与资源研究所与世界自然基金会《中国城市餐饮食物浪费报告》（2018），结合联合国粮农组织《Food Wastage Footprint》（2013）折算：用于光盘行动类。</w:t>
      </w:r>
    </w:p>
    <w:p>
      <w:pPr>
        <w:spacing w:line="360" w:lineRule="auto" w:before="200" w:after="160"/>
      </w:pPr>
      <w:r>
        <w:rPr>
          <w:rFonts w:ascii="宋体" w:hAnsi="宋体" w:eastAsia="宋体"/>
          <w:b/>
          <w:sz w:val="28"/>
        </w:rPr>
        <w:t>5.3 因子明细</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cantSplit/>
        </w:trPr>
        <w:tc>
          <w:tcPr>
            <w:tcW w:type="dxa" w:w="960"/>
          </w:tcPr>
          <w:p>
            <w:pPr>
              <w:spacing w:line="300" w:lineRule="auto" w:after="40"/>
              <w:jc w:val="center"/>
            </w:pPr>
            <w:r/>
            <w:r>
              <w:rPr>
                <w:rFonts w:ascii="宋体" w:hAnsi="宋体" w:eastAsia="宋体"/>
                <w:b/>
                <w:sz w:val="20"/>
              </w:rPr>
              <w:t>类目</w:t>
            </w:r>
          </w:p>
        </w:tc>
        <w:tc>
          <w:tcPr>
            <w:tcW w:type="dxa" w:w="1498"/>
          </w:tcPr>
          <w:p>
            <w:pPr>
              <w:spacing w:line="300" w:lineRule="auto" w:after="40"/>
              <w:jc w:val="center"/>
            </w:pPr>
            <w:r/>
            <w:r>
              <w:rPr>
                <w:rFonts w:ascii="宋体" w:hAnsi="宋体" w:eastAsia="宋体"/>
                <w:b/>
                <w:sz w:val="20"/>
              </w:rPr>
              <w:t>行为</w:t>
            </w:r>
          </w:p>
        </w:tc>
        <w:tc>
          <w:tcPr>
            <w:tcW w:type="dxa" w:w="730"/>
          </w:tcPr>
          <w:p>
            <w:pPr>
              <w:spacing w:line="300" w:lineRule="auto" w:after="40"/>
              <w:jc w:val="center"/>
            </w:pPr>
            <w:r/>
            <w:r>
              <w:rPr>
                <w:rFonts w:ascii="宋体" w:hAnsi="宋体" w:eastAsia="宋体"/>
                <w:b/>
                <w:sz w:val="20"/>
              </w:rPr>
              <w:t>单位</w:t>
            </w:r>
          </w:p>
        </w:tc>
        <w:tc>
          <w:tcPr>
            <w:tcW w:type="dxa" w:w="1152"/>
          </w:tcPr>
          <w:p>
            <w:pPr>
              <w:spacing w:line="300" w:lineRule="auto" w:after="40"/>
              <w:jc w:val="center"/>
            </w:pPr>
            <w:r/>
            <w:r>
              <w:rPr>
                <w:rFonts w:ascii="宋体" w:hAnsi="宋体" w:eastAsia="宋体"/>
                <w:b/>
                <w:sz w:val="20"/>
              </w:rPr>
              <w:t>因子值</w:t>
              <w:br/>
              <w:t>(kg CO₂e/单位)</w:t>
            </w:r>
          </w:p>
        </w:tc>
        <w:tc>
          <w:tcPr>
            <w:tcW w:type="dxa" w:w="1690"/>
          </w:tcPr>
          <w:p>
            <w:pPr>
              <w:spacing w:line="300" w:lineRule="auto" w:after="40"/>
              <w:jc w:val="center"/>
            </w:pPr>
            <w:r/>
            <w:r>
              <w:rPr>
                <w:rFonts w:ascii="宋体" w:hAnsi="宋体" w:eastAsia="宋体"/>
                <w:b/>
                <w:sz w:val="20"/>
              </w:rPr>
              <w:t>基准情景</w:t>
            </w:r>
          </w:p>
        </w:tc>
        <w:tc>
          <w:tcPr>
            <w:tcW w:type="dxa" w:w="2611"/>
          </w:tcPr>
          <w:p>
            <w:pPr>
              <w:spacing w:line="300" w:lineRule="auto" w:after="40"/>
              <w:jc w:val="center"/>
            </w:pPr>
            <w:r/>
            <w:r>
              <w:rPr>
                <w:rFonts w:ascii="宋体" w:hAnsi="宋体" w:eastAsia="宋体"/>
                <w:b/>
                <w:sz w:val="20"/>
              </w:rPr>
              <w:t>数据出处</w:t>
            </w:r>
          </w:p>
        </w:tc>
      </w:tr>
      <w:tr>
        <w:trPr>
          <w:cantSplit/>
        </w:trPr>
        <w:tc>
          <w:tcPr>
            <w:tcW w:type="dxa" w:w="960"/>
          </w:tcPr>
          <w:p>
            <w:pPr>
              <w:spacing w:line="300" w:lineRule="auto" w:after="40"/>
            </w:pPr>
            <w:r/>
            <w:r>
              <w:rPr>
                <w:rFonts w:ascii="宋体" w:hAnsi="宋体" w:eastAsia="宋体"/>
                <w:b w:val="0"/>
                <w:sz w:val="20"/>
              </w:rPr>
              <w:t>出行</w:t>
            </w:r>
          </w:p>
        </w:tc>
        <w:tc>
          <w:tcPr>
            <w:tcW w:type="dxa" w:w="1498"/>
          </w:tcPr>
          <w:p>
            <w:pPr>
              <w:spacing w:line="300" w:lineRule="auto" w:after="40"/>
            </w:pPr>
            <w:r/>
            <w:r>
              <w:rPr>
                <w:rFonts w:ascii="宋体" w:hAnsi="宋体" w:eastAsia="宋体"/>
                <w:b w:val="0"/>
                <w:sz w:val="20"/>
              </w:rPr>
              <w:t>步行</w:t>
            </w:r>
          </w:p>
        </w:tc>
        <w:tc>
          <w:tcPr>
            <w:tcW w:type="dxa" w:w="730"/>
          </w:tcPr>
          <w:p>
            <w:pPr>
              <w:spacing w:line="300" w:lineRule="auto" w:after="40"/>
            </w:pPr>
            <w:r/>
            <w:r>
              <w:rPr>
                <w:rFonts w:ascii="宋体" w:hAnsi="宋体" w:eastAsia="宋体"/>
                <w:b w:val="0"/>
                <w:sz w:val="20"/>
              </w:rPr>
              <w:t>公里</w:t>
            </w:r>
          </w:p>
        </w:tc>
        <w:tc>
          <w:tcPr>
            <w:tcW w:type="dxa" w:w="1152"/>
          </w:tcPr>
          <w:p>
            <w:pPr>
              <w:spacing w:line="300" w:lineRule="auto" w:after="40"/>
            </w:pPr>
            <w:r/>
            <w:r>
              <w:rPr>
                <w:rFonts w:ascii="宋体" w:hAnsi="宋体" w:eastAsia="宋体"/>
                <w:b w:val="0"/>
                <w:sz w:val="20"/>
              </w:rPr>
              <w:t>0.19567</w:t>
            </w:r>
          </w:p>
        </w:tc>
        <w:tc>
          <w:tcPr>
            <w:tcW w:type="dxa" w:w="1690"/>
          </w:tcPr>
          <w:p>
            <w:pPr>
              <w:spacing w:line="300" w:lineRule="auto" w:after="40"/>
            </w:pPr>
            <w:r/>
            <w:r>
              <w:rPr>
                <w:rFonts w:ascii="宋体" w:hAnsi="宋体" w:eastAsia="宋体"/>
                <w:b w:val="0"/>
                <w:sz w:val="20"/>
              </w:rPr>
              <w:t>燃油小汽车</w:t>
            </w:r>
          </w:p>
        </w:tc>
        <w:tc>
          <w:tcPr>
            <w:tcW w:type="dxa" w:w="2611"/>
          </w:tcPr>
          <w:p>
            <w:pPr>
              <w:spacing w:line="300" w:lineRule="auto" w:after="40"/>
            </w:pPr>
            <w:r/>
            <w:r>
              <w:rPr>
                <w:rFonts w:ascii="宋体" w:hAnsi="宋体" w:eastAsia="宋体"/>
                <w:b w:val="0"/>
                <w:sz w:val="20"/>
              </w:rPr>
              <w:t>CPCD（2023）</w:t>
            </w:r>
          </w:p>
        </w:tc>
      </w:tr>
      <w:tr>
        <w:trPr>
          <w:cantSplit/>
        </w:trPr>
        <w:tc>
          <w:tcPr>
            <w:tcW w:type="dxa" w:w="960"/>
          </w:tcPr>
          <w:p>
            <w:pPr>
              <w:spacing w:line="300" w:lineRule="auto" w:after="40"/>
            </w:pPr>
            <w:r/>
            <w:r>
              <w:rPr>
                <w:rFonts w:ascii="宋体" w:hAnsi="宋体" w:eastAsia="宋体"/>
                <w:b w:val="0"/>
                <w:sz w:val="20"/>
              </w:rPr>
              <w:t>出行</w:t>
            </w:r>
          </w:p>
        </w:tc>
        <w:tc>
          <w:tcPr>
            <w:tcW w:type="dxa" w:w="1498"/>
          </w:tcPr>
          <w:p>
            <w:pPr>
              <w:spacing w:line="300" w:lineRule="auto" w:after="40"/>
            </w:pPr>
            <w:r/>
            <w:r>
              <w:rPr>
                <w:rFonts w:ascii="宋体" w:hAnsi="宋体" w:eastAsia="宋体"/>
                <w:b w:val="0"/>
                <w:sz w:val="20"/>
              </w:rPr>
              <w:t>骑行</w:t>
            </w:r>
          </w:p>
        </w:tc>
        <w:tc>
          <w:tcPr>
            <w:tcW w:type="dxa" w:w="730"/>
          </w:tcPr>
          <w:p>
            <w:pPr>
              <w:spacing w:line="300" w:lineRule="auto" w:after="40"/>
            </w:pPr>
            <w:r/>
            <w:r>
              <w:rPr>
                <w:rFonts w:ascii="宋体" w:hAnsi="宋体" w:eastAsia="宋体"/>
                <w:b w:val="0"/>
                <w:sz w:val="20"/>
              </w:rPr>
              <w:t>公里</w:t>
            </w:r>
          </w:p>
        </w:tc>
        <w:tc>
          <w:tcPr>
            <w:tcW w:type="dxa" w:w="1152"/>
          </w:tcPr>
          <w:p>
            <w:pPr>
              <w:spacing w:line="300" w:lineRule="auto" w:after="40"/>
            </w:pPr>
            <w:r/>
            <w:r>
              <w:rPr>
                <w:rFonts w:ascii="宋体" w:hAnsi="宋体" w:eastAsia="宋体"/>
                <w:b w:val="0"/>
                <w:sz w:val="20"/>
              </w:rPr>
              <w:t>0.19567</w:t>
            </w:r>
          </w:p>
        </w:tc>
        <w:tc>
          <w:tcPr>
            <w:tcW w:type="dxa" w:w="1690"/>
          </w:tcPr>
          <w:p>
            <w:pPr>
              <w:spacing w:line="300" w:lineRule="auto" w:after="40"/>
            </w:pPr>
            <w:r/>
            <w:r>
              <w:rPr>
                <w:rFonts w:ascii="宋体" w:hAnsi="宋体" w:eastAsia="宋体"/>
                <w:b w:val="0"/>
                <w:sz w:val="20"/>
              </w:rPr>
              <w:t>燃油小汽车</w:t>
            </w:r>
          </w:p>
        </w:tc>
        <w:tc>
          <w:tcPr>
            <w:tcW w:type="dxa" w:w="2611"/>
          </w:tcPr>
          <w:p>
            <w:pPr>
              <w:spacing w:line="300" w:lineRule="auto" w:after="40"/>
            </w:pPr>
            <w:r/>
            <w:r>
              <w:rPr>
                <w:rFonts w:ascii="宋体" w:hAnsi="宋体" w:eastAsia="宋体"/>
                <w:b w:val="0"/>
                <w:sz w:val="20"/>
              </w:rPr>
              <w:t>CPCD（2023）</w:t>
            </w:r>
          </w:p>
        </w:tc>
      </w:tr>
      <w:tr>
        <w:trPr>
          <w:cantSplit/>
        </w:trPr>
        <w:tc>
          <w:tcPr>
            <w:tcW w:type="dxa" w:w="960"/>
          </w:tcPr>
          <w:p>
            <w:pPr>
              <w:spacing w:line="300" w:lineRule="auto" w:after="40"/>
            </w:pPr>
            <w:r/>
            <w:r>
              <w:rPr>
                <w:rFonts w:ascii="宋体" w:hAnsi="宋体" w:eastAsia="宋体"/>
                <w:b w:val="0"/>
                <w:sz w:val="20"/>
              </w:rPr>
              <w:t>出行</w:t>
            </w:r>
          </w:p>
        </w:tc>
        <w:tc>
          <w:tcPr>
            <w:tcW w:type="dxa" w:w="1498"/>
          </w:tcPr>
          <w:p>
            <w:pPr>
              <w:spacing w:line="300" w:lineRule="auto" w:after="40"/>
            </w:pPr>
            <w:r/>
            <w:r>
              <w:rPr>
                <w:rFonts w:ascii="宋体" w:hAnsi="宋体" w:eastAsia="宋体"/>
                <w:b w:val="0"/>
                <w:sz w:val="20"/>
              </w:rPr>
              <w:t>地铁出行</w:t>
            </w:r>
          </w:p>
        </w:tc>
        <w:tc>
          <w:tcPr>
            <w:tcW w:type="dxa" w:w="730"/>
          </w:tcPr>
          <w:p>
            <w:pPr>
              <w:spacing w:line="300" w:lineRule="auto" w:after="40"/>
            </w:pPr>
            <w:r/>
            <w:r>
              <w:rPr>
                <w:rFonts w:ascii="宋体" w:hAnsi="宋体" w:eastAsia="宋体"/>
                <w:b w:val="0"/>
                <w:sz w:val="20"/>
              </w:rPr>
              <w:t>公里</w:t>
            </w:r>
          </w:p>
        </w:tc>
        <w:tc>
          <w:tcPr>
            <w:tcW w:type="dxa" w:w="1152"/>
          </w:tcPr>
          <w:p>
            <w:pPr>
              <w:spacing w:line="300" w:lineRule="auto" w:after="40"/>
            </w:pPr>
            <w:r/>
            <w:r>
              <w:rPr>
                <w:rFonts w:ascii="宋体" w:hAnsi="宋体" w:eastAsia="宋体"/>
                <w:b w:val="0"/>
                <w:sz w:val="20"/>
              </w:rPr>
              <w:t>0.15253</w:t>
            </w:r>
          </w:p>
        </w:tc>
        <w:tc>
          <w:tcPr>
            <w:tcW w:type="dxa" w:w="1690"/>
          </w:tcPr>
          <w:p>
            <w:pPr>
              <w:spacing w:line="300" w:lineRule="auto" w:after="40"/>
            </w:pPr>
            <w:r/>
            <w:r>
              <w:rPr>
                <w:rFonts w:ascii="宋体" w:hAnsi="宋体" w:eastAsia="宋体"/>
                <w:b w:val="0"/>
                <w:sz w:val="20"/>
              </w:rPr>
              <w:t>燃油小汽车</w:t>
            </w:r>
          </w:p>
        </w:tc>
        <w:tc>
          <w:tcPr>
            <w:tcW w:type="dxa" w:w="2611"/>
          </w:tcPr>
          <w:p>
            <w:pPr>
              <w:spacing w:line="300" w:lineRule="auto" w:after="40"/>
            </w:pPr>
            <w:r/>
            <w:r>
              <w:rPr>
                <w:rFonts w:ascii="宋体" w:hAnsi="宋体" w:eastAsia="宋体"/>
                <w:b w:val="0"/>
                <w:sz w:val="20"/>
              </w:rPr>
              <w:t>CPCD（2023）差值</w:t>
            </w:r>
          </w:p>
        </w:tc>
      </w:tr>
      <w:tr>
        <w:trPr>
          <w:cantSplit/>
        </w:trPr>
        <w:tc>
          <w:tcPr>
            <w:tcW w:type="dxa" w:w="960"/>
          </w:tcPr>
          <w:p>
            <w:pPr>
              <w:spacing w:line="300" w:lineRule="auto" w:after="40"/>
            </w:pPr>
            <w:r/>
            <w:r>
              <w:rPr>
                <w:rFonts w:ascii="宋体" w:hAnsi="宋体" w:eastAsia="宋体"/>
                <w:b w:val="0"/>
                <w:sz w:val="20"/>
              </w:rPr>
              <w:t>出行</w:t>
            </w:r>
          </w:p>
        </w:tc>
        <w:tc>
          <w:tcPr>
            <w:tcW w:type="dxa" w:w="1498"/>
          </w:tcPr>
          <w:p>
            <w:pPr>
              <w:spacing w:line="300" w:lineRule="auto" w:after="40"/>
            </w:pPr>
            <w:r/>
            <w:r>
              <w:rPr>
                <w:rFonts w:ascii="宋体" w:hAnsi="宋体" w:eastAsia="宋体"/>
                <w:b w:val="0"/>
                <w:sz w:val="20"/>
              </w:rPr>
              <w:t>公交出行</w:t>
            </w:r>
          </w:p>
        </w:tc>
        <w:tc>
          <w:tcPr>
            <w:tcW w:type="dxa" w:w="730"/>
          </w:tcPr>
          <w:p>
            <w:pPr>
              <w:spacing w:line="300" w:lineRule="auto" w:after="40"/>
            </w:pPr>
            <w:r/>
            <w:r>
              <w:rPr>
                <w:rFonts w:ascii="宋体" w:hAnsi="宋体" w:eastAsia="宋体"/>
                <w:b w:val="0"/>
                <w:sz w:val="20"/>
              </w:rPr>
              <w:t>公里</w:t>
            </w:r>
          </w:p>
        </w:tc>
        <w:tc>
          <w:tcPr>
            <w:tcW w:type="dxa" w:w="1152"/>
          </w:tcPr>
          <w:p>
            <w:pPr>
              <w:spacing w:line="300" w:lineRule="auto" w:after="40"/>
            </w:pPr>
            <w:r/>
            <w:r>
              <w:rPr>
                <w:rFonts w:ascii="宋体" w:hAnsi="宋体" w:eastAsia="宋体"/>
                <w:b w:val="0"/>
                <w:sz w:val="20"/>
              </w:rPr>
              <w:t>0.14267</w:t>
            </w:r>
          </w:p>
        </w:tc>
        <w:tc>
          <w:tcPr>
            <w:tcW w:type="dxa" w:w="1690"/>
          </w:tcPr>
          <w:p>
            <w:pPr>
              <w:spacing w:line="300" w:lineRule="auto" w:after="40"/>
            </w:pPr>
            <w:r/>
            <w:r>
              <w:rPr>
                <w:rFonts w:ascii="宋体" w:hAnsi="宋体" w:eastAsia="宋体"/>
                <w:b w:val="0"/>
                <w:sz w:val="20"/>
              </w:rPr>
              <w:t>燃油小汽车</w:t>
            </w:r>
          </w:p>
        </w:tc>
        <w:tc>
          <w:tcPr>
            <w:tcW w:type="dxa" w:w="2611"/>
          </w:tcPr>
          <w:p>
            <w:pPr>
              <w:spacing w:line="300" w:lineRule="auto" w:after="40"/>
            </w:pPr>
            <w:r/>
            <w:r>
              <w:rPr>
                <w:rFonts w:ascii="宋体" w:hAnsi="宋体" w:eastAsia="宋体"/>
                <w:b w:val="0"/>
                <w:sz w:val="20"/>
              </w:rPr>
              <w:t>CPCD（2023）差值</w:t>
            </w:r>
          </w:p>
        </w:tc>
      </w:tr>
      <w:tr>
        <w:trPr>
          <w:cantSplit/>
        </w:trPr>
        <w:tc>
          <w:tcPr>
            <w:tcW w:type="dxa" w:w="960"/>
          </w:tcPr>
          <w:p>
            <w:pPr>
              <w:spacing w:line="300" w:lineRule="auto" w:after="40"/>
            </w:pPr>
            <w:r/>
            <w:r>
              <w:rPr>
                <w:rFonts w:ascii="宋体" w:hAnsi="宋体" w:eastAsia="宋体"/>
                <w:b w:val="0"/>
                <w:sz w:val="20"/>
              </w:rPr>
              <w:t>出行</w:t>
            </w:r>
          </w:p>
        </w:tc>
        <w:tc>
          <w:tcPr>
            <w:tcW w:type="dxa" w:w="1498"/>
          </w:tcPr>
          <w:p>
            <w:pPr>
              <w:spacing w:line="300" w:lineRule="auto" w:after="40"/>
            </w:pPr>
            <w:r/>
            <w:r>
              <w:rPr>
                <w:rFonts w:ascii="宋体" w:hAnsi="宋体" w:eastAsia="宋体"/>
                <w:b w:val="0"/>
                <w:sz w:val="20"/>
              </w:rPr>
              <w:t>新能源车出行</w:t>
            </w:r>
          </w:p>
        </w:tc>
        <w:tc>
          <w:tcPr>
            <w:tcW w:type="dxa" w:w="730"/>
          </w:tcPr>
          <w:p>
            <w:pPr>
              <w:spacing w:line="300" w:lineRule="auto" w:after="40"/>
            </w:pPr>
            <w:r/>
            <w:r>
              <w:rPr>
                <w:rFonts w:ascii="宋体" w:hAnsi="宋体" w:eastAsia="宋体"/>
                <w:b w:val="0"/>
                <w:sz w:val="20"/>
              </w:rPr>
              <w:t>公里</w:t>
            </w:r>
          </w:p>
        </w:tc>
        <w:tc>
          <w:tcPr>
            <w:tcW w:type="dxa" w:w="1152"/>
          </w:tcPr>
          <w:p>
            <w:pPr>
              <w:spacing w:line="300" w:lineRule="auto" w:after="40"/>
            </w:pPr>
            <w:r/>
            <w:r>
              <w:rPr>
                <w:rFonts w:ascii="宋体" w:hAnsi="宋体" w:eastAsia="宋体"/>
                <w:b w:val="0"/>
                <w:sz w:val="20"/>
              </w:rPr>
              <w:t>0.02567</w:t>
            </w:r>
          </w:p>
        </w:tc>
        <w:tc>
          <w:tcPr>
            <w:tcW w:type="dxa" w:w="1690"/>
          </w:tcPr>
          <w:p>
            <w:pPr>
              <w:spacing w:line="300" w:lineRule="auto" w:after="40"/>
            </w:pPr>
            <w:r/>
            <w:r>
              <w:rPr>
                <w:rFonts w:ascii="宋体" w:hAnsi="宋体" w:eastAsia="宋体"/>
                <w:b w:val="0"/>
                <w:sz w:val="20"/>
              </w:rPr>
              <w:t>燃油小汽车</w:t>
            </w:r>
          </w:p>
        </w:tc>
        <w:tc>
          <w:tcPr>
            <w:tcW w:type="dxa" w:w="2611"/>
          </w:tcPr>
          <w:p>
            <w:pPr>
              <w:spacing w:line="300" w:lineRule="auto" w:after="40"/>
            </w:pPr>
            <w:r/>
            <w:r>
              <w:rPr>
                <w:rFonts w:ascii="宋体" w:hAnsi="宋体" w:eastAsia="宋体"/>
                <w:b w:val="0"/>
                <w:sz w:val="20"/>
              </w:rPr>
              <w:t>CPCD（2023）差值</w:t>
            </w:r>
          </w:p>
        </w:tc>
      </w:tr>
      <w:tr>
        <w:trPr>
          <w:cantSplit/>
        </w:trPr>
        <w:tc>
          <w:tcPr>
            <w:tcW w:type="dxa" w:w="960"/>
          </w:tcPr>
          <w:p>
            <w:pPr>
              <w:spacing w:line="300" w:lineRule="auto" w:after="40"/>
            </w:pPr>
            <w:r/>
            <w:r>
              <w:rPr>
                <w:rFonts w:ascii="宋体" w:hAnsi="宋体" w:eastAsia="宋体"/>
                <w:b w:val="0"/>
                <w:sz w:val="20"/>
              </w:rPr>
              <w:t>节水节电</w:t>
            </w:r>
          </w:p>
        </w:tc>
        <w:tc>
          <w:tcPr>
            <w:tcW w:type="dxa" w:w="1498"/>
          </w:tcPr>
          <w:p>
            <w:pPr>
              <w:spacing w:line="300" w:lineRule="auto" w:after="40"/>
            </w:pPr>
            <w:r/>
            <w:r>
              <w:rPr>
                <w:rFonts w:ascii="宋体" w:hAnsi="宋体" w:eastAsia="宋体"/>
                <w:b w:val="0"/>
                <w:sz w:val="20"/>
              </w:rPr>
              <w:t>节约用电</w:t>
            </w:r>
          </w:p>
        </w:tc>
        <w:tc>
          <w:tcPr>
            <w:tcW w:type="dxa" w:w="730"/>
          </w:tcPr>
          <w:p>
            <w:pPr>
              <w:spacing w:line="300" w:lineRule="auto" w:after="40"/>
            </w:pPr>
            <w:r/>
            <w:r>
              <w:rPr>
                <w:rFonts w:ascii="宋体" w:hAnsi="宋体" w:eastAsia="宋体"/>
                <w:b w:val="0"/>
                <w:sz w:val="20"/>
              </w:rPr>
              <w:t>度</w:t>
            </w:r>
          </w:p>
        </w:tc>
        <w:tc>
          <w:tcPr>
            <w:tcW w:type="dxa" w:w="1152"/>
          </w:tcPr>
          <w:p>
            <w:pPr>
              <w:spacing w:line="300" w:lineRule="auto" w:after="40"/>
            </w:pPr>
            <w:r/>
            <w:r>
              <w:rPr>
                <w:rFonts w:ascii="宋体" w:hAnsi="宋体" w:eastAsia="宋体"/>
                <w:b w:val="0"/>
                <w:sz w:val="20"/>
              </w:rPr>
              <w:t>0.5897</w:t>
            </w:r>
          </w:p>
        </w:tc>
        <w:tc>
          <w:tcPr>
            <w:tcW w:type="dxa" w:w="1690"/>
          </w:tcPr>
          <w:p>
            <w:pPr>
              <w:spacing w:line="300" w:lineRule="auto" w:after="40"/>
            </w:pPr>
            <w:r/>
            <w:r>
              <w:rPr>
                <w:rFonts w:ascii="宋体" w:hAnsi="宋体" w:eastAsia="宋体"/>
                <w:b w:val="0"/>
                <w:sz w:val="20"/>
              </w:rPr>
              <w:t>等量电网供电</w:t>
            </w:r>
          </w:p>
        </w:tc>
        <w:tc>
          <w:tcPr>
            <w:tcW w:type="dxa" w:w="2611"/>
          </w:tcPr>
          <w:p>
            <w:pPr>
              <w:spacing w:line="300" w:lineRule="auto" w:after="40"/>
            </w:pPr>
            <w:r/>
            <w:r>
              <w:rPr>
                <w:rFonts w:ascii="宋体" w:hAnsi="宋体" w:eastAsia="宋体"/>
                <w:b w:val="0"/>
                <w:sz w:val="20"/>
              </w:rPr>
              <w:t>生态环境部公告 2025 年第 47 号（河南省）</w:t>
            </w:r>
          </w:p>
        </w:tc>
      </w:tr>
      <w:tr>
        <w:trPr>
          <w:cantSplit/>
        </w:trPr>
        <w:tc>
          <w:tcPr>
            <w:tcW w:type="dxa" w:w="960"/>
          </w:tcPr>
          <w:p>
            <w:pPr>
              <w:spacing w:line="300" w:lineRule="auto" w:after="40"/>
            </w:pPr>
            <w:r/>
            <w:r>
              <w:rPr>
                <w:rFonts w:ascii="宋体" w:hAnsi="宋体" w:eastAsia="宋体"/>
                <w:b w:val="0"/>
                <w:sz w:val="20"/>
              </w:rPr>
              <w:t>节水节电</w:t>
            </w:r>
          </w:p>
        </w:tc>
        <w:tc>
          <w:tcPr>
            <w:tcW w:type="dxa" w:w="1498"/>
          </w:tcPr>
          <w:p>
            <w:pPr>
              <w:spacing w:line="300" w:lineRule="auto" w:after="40"/>
            </w:pPr>
            <w:r/>
            <w:r>
              <w:rPr>
                <w:rFonts w:ascii="宋体" w:hAnsi="宋体" w:eastAsia="宋体"/>
                <w:b w:val="0"/>
                <w:sz w:val="20"/>
              </w:rPr>
              <w:t>少开空调</w:t>
            </w:r>
          </w:p>
        </w:tc>
        <w:tc>
          <w:tcPr>
            <w:tcW w:type="dxa" w:w="730"/>
          </w:tcPr>
          <w:p>
            <w:pPr>
              <w:spacing w:line="300" w:lineRule="auto" w:after="40"/>
            </w:pPr>
            <w:r/>
            <w:r>
              <w:rPr>
                <w:rFonts w:ascii="宋体" w:hAnsi="宋体" w:eastAsia="宋体"/>
                <w:b w:val="0"/>
                <w:sz w:val="20"/>
              </w:rPr>
              <w:t>度</w:t>
            </w:r>
          </w:p>
        </w:tc>
        <w:tc>
          <w:tcPr>
            <w:tcW w:type="dxa" w:w="1152"/>
          </w:tcPr>
          <w:p>
            <w:pPr>
              <w:spacing w:line="300" w:lineRule="auto" w:after="40"/>
            </w:pPr>
            <w:r/>
            <w:r>
              <w:rPr>
                <w:rFonts w:ascii="宋体" w:hAnsi="宋体" w:eastAsia="宋体"/>
                <w:b w:val="0"/>
                <w:sz w:val="20"/>
              </w:rPr>
              <w:t>0.5897</w:t>
            </w:r>
          </w:p>
        </w:tc>
        <w:tc>
          <w:tcPr>
            <w:tcW w:type="dxa" w:w="1690"/>
          </w:tcPr>
          <w:p>
            <w:pPr>
              <w:spacing w:line="300" w:lineRule="auto" w:after="40"/>
            </w:pPr>
            <w:r/>
            <w:r>
              <w:rPr>
                <w:rFonts w:ascii="宋体" w:hAnsi="宋体" w:eastAsia="宋体"/>
                <w:b w:val="0"/>
                <w:sz w:val="20"/>
              </w:rPr>
              <w:t>等量电网供电</w:t>
            </w:r>
          </w:p>
        </w:tc>
        <w:tc>
          <w:tcPr>
            <w:tcW w:type="dxa" w:w="2611"/>
          </w:tcPr>
          <w:p>
            <w:pPr>
              <w:spacing w:line="300" w:lineRule="auto" w:after="40"/>
            </w:pPr>
            <w:r/>
            <w:r>
              <w:rPr>
                <w:rFonts w:ascii="宋体" w:hAnsi="宋体" w:eastAsia="宋体"/>
                <w:b w:val="0"/>
                <w:sz w:val="20"/>
              </w:rPr>
              <w:t>同上</w:t>
            </w:r>
          </w:p>
        </w:tc>
      </w:tr>
      <w:tr>
        <w:trPr>
          <w:cantSplit/>
        </w:trPr>
        <w:tc>
          <w:tcPr>
            <w:tcW w:type="dxa" w:w="960"/>
          </w:tcPr>
          <w:p>
            <w:pPr>
              <w:spacing w:line="300" w:lineRule="auto" w:after="40"/>
            </w:pPr>
            <w:r/>
            <w:r>
              <w:rPr>
                <w:rFonts w:ascii="宋体" w:hAnsi="宋体" w:eastAsia="宋体"/>
                <w:b w:val="0"/>
                <w:sz w:val="20"/>
              </w:rPr>
              <w:t>节水节电</w:t>
            </w:r>
          </w:p>
        </w:tc>
        <w:tc>
          <w:tcPr>
            <w:tcW w:type="dxa" w:w="1498"/>
          </w:tcPr>
          <w:p>
            <w:pPr>
              <w:spacing w:line="300" w:lineRule="auto" w:after="40"/>
            </w:pPr>
            <w:r/>
            <w:r>
              <w:rPr>
                <w:rFonts w:ascii="宋体" w:hAnsi="宋体" w:eastAsia="宋体"/>
                <w:b w:val="0"/>
                <w:sz w:val="20"/>
              </w:rPr>
              <w:t>节约用水</w:t>
            </w:r>
          </w:p>
        </w:tc>
        <w:tc>
          <w:tcPr>
            <w:tcW w:type="dxa" w:w="730"/>
          </w:tcPr>
          <w:p>
            <w:pPr>
              <w:spacing w:line="300" w:lineRule="auto" w:after="40"/>
            </w:pPr>
            <w:r/>
            <w:r>
              <w:rPr>
                <w:rFonts w:ascii="宋体" w:hAnsi="宋体" w:eastAsia="宋体"/>
                <w:b w:val="0"/>
                <w:sz w:val="20"/>
              </w:rPr>
              <w:t>立方米</w:t>
            </w:r>
          </w:p>
        </w:tc>
        <w:tc>
          <w:tcPr>
            <w:tcW w:type="dxa" w:w="1152"/>
          </w:tcPr>
          <w:p>
            <w:pPr>
              <w:spacing w:line="300" w:lineRule="auto" w:after="40"/>
            </w:pPr>
            <w:r/>
            <w:r>
              <w:rPr>
                <w:rFonts w:ascii="宋体" w:hAnsi="宋体" w:eastAsia="宋体"/>
                <w:b w:val="0"/>
                <w:sz w:val="20"/>
              </w:rPr>
              <w:t>0.36218</w:t>
            </w:r>
          </w:p>
        </w:tc>
        <w:tc>
          <w:tcPr>
            <w:tcW w:type="dxa" w:w="1690"/>
          </w:tcPr>
          <w:p>
            <w:pPr>
              <w:spacing w:line="300" w:lineRule="auto" w:after="40"/>
            </w:pPr>
            <w:r/>
            <w:r>
              <w:rPr>
                <w:rFonts w:ascii="宋体" w:hAnsi="宋体" w:eastAsia="宋体"/>
                <w:b w:val="0"/>
                <w:sz w:val="20"/>
              </w:rPr>
              <w:t>等量供水与污水处理</w:t>
            </w:r>
          </w:p>
        </w:tc>
        <w:tc>
          <w:tcPr>
            <w:tcW w:type="dxa" w:w="2611"/>
          </w:tcPr>
          <w:p>
            <w:pPr>
              <w:spacing w:line="300" w:lineRule="auto" w:after="40"/>
            </w:pPr>
            <w:r/>
            <w:r>
              <w:rPr>
                <w:rFonts w:ascii="宋体" w:hAnsi="宋体" w:eastAsia="宋体"/>
                <w:b w:val="0"/>
                <w:sz w:val="20"/>
              </w:rPr>
              <w:t>DEFRA 2025（英国口径）</w:t>
            </w:r>
          </w:p>
        </w:tc>
      </w:tr>
      <w:tr>
        <w:trPr>
          <w:cantSplit/>
        </w:trPr>
        <w:tc>
          <w:tcPr>
            <w:tcW w:type="dxa" w:w="960"/>
          </w:tcPr>
          <w:p>
            <w:pPr>
              <w:spacing w:line="300" w:lineRule="auto" w:after="40"/>
            </w:pPr>
            <w:r/>
            <w:r>
              <w:rPr>
                <w:rFonts w:ascii="宋体" w:hAnsi="宋体" w:eastAsia="宋体"/>
                <w:b w:val="0"/>
                <w:sz w:val="20"/>
              </w:rPr>
              <w:t>旧物回收</w:t>
            </w:r>
          </w:p>
        </w:tc>
        <w:tc>
          <w:tcPr>
            <w:tcW w:type="dxa" w:w="1498"/>
          </w:tcPr>
          <w:p>
            <w:pPr>
              <w:spacing w:line="300" w:lineRule="auto" w:after="40"/>
            </w:pPr>
            <w:r/>
            <w:r>
              <w:rPr>
                <w:rFonts w:ascii="宋体" w:hAnsi="宋体" w:eastAsia="宋体"/>
                <w:b w:val="0"/>
                <w:sz w:val="20"/>
              </w:rPr>
              <w:t>回收塑料（PET）</w:t>
            </w:r>
          </w:p>
        </w:tc>
        <w:tc>
          <w:tcPr>
            <w:tcW w:type="dxa" w:w="730"/>
          </w:tcPr>
          <w:p>
            <w:pPr>
              <w:spacing w:line="300" w:lineRule="auto" w:after="40"/>
            </w:pPr>
            <w:r/>
            <w:r>
              <w:rPr>
                <w:rFonts w:ascii="宋体" w:hAnsi="宋体" w:eastAsia="宋体"/>
                <w:b w:val="0"/>
                <w:sz w:val="20"/>
              </w:rPr>
              <w:t>公斤</w:t>
            </w:r>
          </w:p>
        </w:tc>
        <w:tc>
          <w:tcPr>
            <w:tcW w:type="dxa" w:w="1152"/>
          </w:tcPr>
          <w:p>
            <w:pPr>
              <w:spacing w:line="300" w:lineRule="auto" w:after="40"/>
            </w:pPr>
            <w:r/>
            <w:r>
              <w:rPr>
                <w:rFonts w:ascii="宋体" w:hAnsi="宋体" w:eastAsia="宋体"/>
                <w:b w:val="0"/>
                <w:sz w:val="20"/>
              </w:rPr>
              <w:t>0.3208</w:t>
            </w:r>
          </w:p>
        </w:tc>
        <w:tc>
          <w:tcPr>
            <w:tcW w:type="dxa" w:w="1690"/>
          </w:tcPr>
          <w:p>
            <w:pPr>
              <w:spacing w:line="300" w:lineRule="auto" w:after="40"/>
            </w:pPr>
            <w:r/>
            <w:r>
              <w:rPr>
                <w:rFonts w:ascii="宋体" w:hAnsi="宋体" w:eastAsia="宋体"/>
                <w:b w:val="0"/>
                <w:sz w:val="20"/>
              </w:rPr>
              <w:t>原生 PET 生产</w:t>
            </w:r>
          </w:p>
        </w:tc>
        <w:tc>
          <w:tcPr>
            <w:tcW w:type="dxa" w:w="2611"/>
          </w:tcPr>
          <w:p>
            <w:pPr>
              <w:spacing w:line="300" w:lineRule="auto" w:after="40"/>
            </w:pPr>
            <w:r/>
            <w:r>
              <w:rPr>
                <w:rFonts w:ascii="宋体" w:hAnsi="宋体" w:eastAsia="宋体"/>
                <w:b w:val="0"/>
                <w:sz w:val="20"/>
              </w:rPr>
              <w:t>CPCD（2022）差值</w:t>
            </w:r>
          </w:p>
        </w:tc>
      </w:tr>
      <w:tr>
        <w:trPr>
          <w:cantSplit/>
        </w:trPr>
        <w:tc>
          <w:tcPr>
            <w:tcW w:type="dxa" w:w="960"/>
          </w:tcPr>
          <w:p>
            <w:pPr>
              <w:spacing w:line="300" w:lineRule="auto" w:after="40"/>
            </w:pPr>
            <w:r/>
            <w:r>
              <w:rPr>
                <w:rFonts w:ascii="宋体" w:hAnsi="宋体" w:eastAsia="宋体"/>
                <w:b w:val="0"/>
                <w:sz w:val="20"/>
              </w:rPr>
              <w:t>旧物回收</w:t>
            </w:r>
          </w:p>
        </w:tc>
        <w:tc>
          <w:tcPr>
            <w:tcW w:type="dxa" w:w="1498"/>
          </w:tcPr>
          <w:p>
            <w:pPr>
              <w:spacing w:line="300" w:lineRule="auto" w:after="40"/>
            </w:pPr>
            <w:r/>
            <w:r>
              <w:rPr>
                <w:rFonts w:ascii="宋体" w:hAnsi="宋体" w:eastAsia="宋体"/>
                <w:b w:val="0"/>
                <w:sz w:val="20"/>
              </w:rPr>
              <w:t>回收废纸</w:t>
            </w:r>
          </w:p>
        </w:tc>
        <w:tc>
          <w:tcPr>
            <w:tcW w:type="dxa" w:w="730"/>
          </w:tcPr>
          <w:p>
            <w:pPr>
              <w:spacing w:line="300" w:lineRule="auto" w:after="40"/>
            </w:pPr>
            <w:r/>
            <w:r>
              <w:rPr>
                <w:rFonts w:ascii="宋体" w:hAnsi="宋体" w:eastAsia="宋体"/>
                <w:b w:val="0"/>
                <w:sz w:val="20"/>
              </w:rPr>
              <w:t>公斤</w:t>
            </w:r>
          </w:p>
        </w:tc>
        <w:tc>
          <w:tcPr>
            <w:tcW w:type="dxa" w:w="1152"/>
          </w:tcPr>
          <w:p>
            <w:pPr>
              <w:spacing w:line="300" w:lineRule="auto" w:after="40"/>
            </w:pPr>
            <w:r/>
            <w:r>
              <w:rPr>
                <w:rFonts w:ascii="宋体" w:hAnsi="宋体" w:eastAsia="宋体"/>
                <w:b w:val="0"/>
                <w:sz w:val="20"/>
              </w:rPr>
              <w:t>0.2197</w:t>
            </w:r>
          </w:p>
        </w:tc>
        <w:tc>
          <w:tcPr>
            <w:tcW w:type="dxa" w:w="1690"/>
          </w:tcPr>
          <w:p>
            <w:pPr>
              <w:spacing w:line="300" w:lineRule="auto" w:after="40"/>
            </w:pPr>
            <w:r/>
            <w:r>
              <w:rPr>
                <w:rFonts w:ascii="宋体" w:hAnsi="宋体" w:eastAsia="宋体"/>
                <w:b w:val="0"/>
                <w:sz w:val="20"/>
              </w:rPr>
              <w:t>原生纸浆生产</w:t>
            </w:r>
          </w:p>
        </w:tc>
        <w:tc>
          <w:tcPr>
            <w:tcW w:type="dxa" w:w="2611"/>
          </w:tcPr>
          <w:p>
            <w:pPr>
              <w:spacing w:line="300" w:lineRule="auto" w:after="40"/>
            </w:pPr>
            <w:r/>
            <w:r>
              <w:rPr>
                <w:rFonts w:ascii="宋体" w:hAnsi="宋体" w:eastAsia="宋体"/>
                <w:b w:val="0"/>
                <w:sz w:val="20"/>
              </w:rPr>
              <w:t>DEFRA 2025（英国口径）</w:t>
            </w:r>
          </w:p>
        </w:tc>
      </w:tr>
      <w:tr>
        <w:trPr>
          <w:cantSplit/>
        </w:trPr>
        <w:tc>
          <w:tcPr>
            <w:tcW w:type="dxa" w:w="960"/>
          </w:tcPr>
          <w:p>
            <w:pPr>
              <w:spacing w:line="300" w:lineRule="auto" w:after="40"/>
            </w:pPr>
            <w:r/>
            <w:r>
              <w:rPr>
                <w:rFonts w:ascii="宋体" w:hAnsi="宋体" w:eastAsia="宋体"/>
                <w:b w:val="0"/>
                <w:sz w:val="20"/>
              </w:rPr>
              <w:t>旧物回收</w:t>
            </w:r>
          </w:p>
        </w:tc>
        <w:tc>
          <w:tcPr>
            <w:tcW w:type="dxa" w:w="1498"/>
          </w:tcPr>
          <w:p>
            <w:pPr>
              <w:spacing w:line="300" w:lineRule="auto" w:after="40"/>
            </w:pPr>
            <w:r/>
            <w:r>
              <w:rPr>
                <w:rFonts w:ascii="宋体" w:hAnsi="宋体" w:eastAsia="宋体"/>
                <w:b w:val="0"/>
                <w:sz w:val="20"/>
              </w:rPr>
              <w:t>回收易拉罐（铝）</w:t>
            </w:r>
          </w:p>
        </w:tc>
        <w:tc>
          <w:tcPr>
            <w:tcW w:type="dxa" w:w="730"/>
          </w:tcPr>
          <w:p>
            <w:pPr>
              <w:spacing w:line="300" w:lineRule="auto" w:after="40"/>
            </w:pPr>
            <w:r/>
            <w:r>
              <w:rPr>
                <w:rFonts w:ascii="宋体" w:hAnsi="宋体" w:eastAsia="宋体"/>
                <w:b w:val="0"/>
                <w:sz w:val="20"/>
              </w:rPr>
              <w:t>公斤</w:t>
            </w:r>
          </w:p>
        </w:tc>
        <w:tc>
          <w:tcPr>
            <w:tcW w:type="dxa" w:w="1152"/>
          </w:tcPr>
          <w:p>
            <w:pPr>
              <w:spacing w:line="300" w:lineRule="auto" w:after="40"/>
            </w:pPr>
            <w:r/>
            <w:r>
              <w:rPr>
                <w:rFonts w:ascii="宋体" w:hAnsi="宋体" w:eastAsia="宋体"/>
                <w:b w:val="0"/>
                <w:sz w:val="20"/>
              </w:rPr>
              <w:t>8.1208</w:t>
            </w:r>
          </w:p>
        </w:tc>
        <w:tc>
          <w:tcPr>
            <w:tcW w:type="dxa" w:w="1690"/>
          </w:tcPr>
          <w:p>
            <w:pPr>
              <w:spacing w:line="300" w:lineRule="auto" w:after="40"/>
            </w:pPr>
            <w:r/>
            <w:r>
              <w:rPr>
                <w:rFonts w:ascii="宋体" w:hAnsi="宋体" w:eastAsia="宋体"/>
                <w:b w:val="0"/>
                <w:sz w:val="20"/>
              </w:rPr>
              <w:t>原生铝电解生产</w:t>
            </w:r>
          </w:p>
        </w:tc>
        <w:tc>
          <w:tcPr>
            <w:tcW w:type="dxa" w:w="2611"/>
          </w:tcPr>
          <w:p>
            <w:pPr>
              <w:spacing w:line="300" w:lineRule="auto" w:after="40"/>
            </w:pPr>
            <w:r/>
            <w:r>
              <w:rPr>
                <w:rFonts w:ascii="宋体" w:hAnsi="宋体" w:eastAsia="宋体"/>
                <w:b w:val="0"/>
                <w:sz w:val="20"/>
              </w:rPr>
              <w:t>DEFRA 2025（英国口径）</w:t>
            </w:r>
          </w:p>
        </w:tc>
      </w:tr>
      <w:tr>
        <w:trPr>
          <w:cantSplit/>
        </w:trPr>
        <w:tc>
          <w:tcPr>
            <w:tcW w:type="dxa" w:w="960"/>
          </w:tcPr>
          <w:p>
            <w:pPr>
              <w:spacing w:line="300" w:lineRule="auto" w:after="40"/>
            </w:pPr>
            <w:r/>
            <w:r>
              <w:rPr>
                <w:rFonts w:ascii="宋体" w:hAnsi="宋体" w:eastAsia="宋体"/>
                <w:b w:val="0"/>
                <w:sz w:val="20"/>
              </w:rPr>
              <w:t>旧物回收</w:t>
            </w:r>
          </w:p>
        </w:tc>
        <w:tc>
          <w:tcPr>
            <w:tcW w:type="dxa" w:w="1498"/>
          </w:tcPr>
          <w:p>
            <w:pPr>
              <w:spacing w:line="300" w:lineRule="auto" w:after="40"/>
            </w:pPr>
            <w:r/>
            <w:r>
              <w:rPr>
                <w:rFonts w:ascii="宋体" w:hAnsi="宋体" w:eastAsia="宋体"/>
                <w:b w:val="0"/>
                <w:sz w:val="20"/>
              </w:rPr>
              <w:t>回收旧衣物</w:t>
            </w:r>
          </w:p>
        </w:tc>
        <w:tc>
          <w:tcPr>
            <w:tcW w:type="dxa" w:w="730"/>
          </w:tcPr>
          <w:p>
            <w:pPr>
              <w:spacing w:line="300" w:lineRule="auto" w:after="40"/>
            </w:pPr>
            <w:r/>
            <w:r>
              <w:rPr>
                <w:rFonts w:ascii="宋体" w:hAnsi="宋体" w:eastAsia="宋体"/>
                <w:b w:val="0"/>
                <w:sz w:val="20"/>
              </w:rPr>
              <w:t>公斤</w:t>
            </w:r>
          </w:p>
        </w:tc>
        <w:tc>
          <w:tcPr>
            <w:tcW w:type="dxa" w:w="1152"/>
          </w:tcPr>
          <w:p>
            <w:pPr>
              <w:spacing w:line="300" w:lineRule="auto" w:after="40"/>
            </w:pPr>
            <w:r/>
            <w:r>
              <w:rPr>
                <w:rFonts w:ascii="宋体" w:hAnsi="宋体" w:eastAsia="宋体"/>
                <w:b w:val="0"/>
                <w:sz w:val="20"/>
              </w:rPr>
              <w:t>22.1578</w:t>
            </w:r>
          </w:p>
        </w:tc>
        <w:tc>
          <w:tcPr>
            <w:tcW w:type="dxa" w:w="1690"/>
          </w:tcPr>
          <w:p>
            <w:pPr>
              <w:spacing w:line="300" w:lineRule="auto" w:after="40"/>
            </w:pPr>
            <w:r/>
            <w:r>
              <w:rPr>
                <w:rFonts w:ascii="宋体" w:hAnsi="宋体" w:eastAsia="宋体"/>
                <w:b w:val="0"/>
                <w:sz w:val="20"/>
              </w:rPr>
              <w:t>新纺织面料生产</w:t>
            </w:r>
          </w:p>
        </w:tc>
        <w:tc>
          <w:tcPr>
            <w:tcW w:type="dxa" w:w="2611"/>
          </w:tcPr>
          <w:p>
            <w:pPr>
              <w:spacing w:line="300" w:lineRule="auto" w:after="40"/>
            </w:pPr>
            <w:r/>
            <w:r>
              <w:rPr>
                <w:rFonts w:ascii="宋体" w:hAnsi="宋体" w:eastAsia="宋体"/>
                <w:b w:val="0"/>
                <w:sz w:val="20"/>
              </w:rPr>
              <w:t>DEFRA 2025（英国口径）</w:t>
            </w:r>
          </w:p>
        </w:tc>
      </w:tr>
      <w:tr>
        <w:trPr>
          <w:cantSplit/>
        </w:trPr>
        <w:tc>
          <w:tcPr>
            <w:tcW w:type="dxa" w:w="960"/>
          </w:tcPr>
          <w:p>
            <w:pPr>
              <w:spacing w:line="300" w:lineRule="auto" w:after="40"/>
            </w:pPr>
            <w:r/>
            <w:r>
              <w:rPr>
                <w:rFonts w:ascii="宋体" w:hAnsi="宋体" w:eastAsia="宋体"/>
                <w:b w:val="0"/>
                <w:sz w:val="20"/>
              </w:rPr>
              <w:t>光盘行动</w:t>
            </w:r>
          </w:p>
        </w:tc>
        <w:tc>
          <w:tcPr>
            <w:tcW w:type="dxa" w:w="1498"/>
          </w:tcPr>
          <w:p>
            <w:pPr>
              <w:spacing w:line="300" w:lineRule="auto" w:after="40"/>
            </w:pPr>
            <w:r/>
            <w:r>
              <w:rPr>
                <w:rFonts w:ascii="宋体" w:hAnsi="宋体" w:eastAsia="宋体"/>
                <w:b w:val="0"/>
                <w:sz w:val="20"/>
              </w:rPr>
              <w:t>光盘行动</w:t>
            </w:r>
          </w:p>
        </w:tc>
        <w:tc>
          <w:tcPr>
            <w:tcW w:type="dxa" w:w="730"/>
          </w:tcPr>
          <w:p>
            <w:pPr>
              <w:spacing w:line="300" w:lineRule="auto" w:after="40"/>
            </w:pPr>
            <w:r/>
            <w:r>
              <w:rPr>
                <w:rFonts w:ascii="宋体" w:hAnsi="宋体" w:eastAsia="宋体"/>
                <w:b w:val="0"/>
                <w:sz w:val="20"/>
              </w:rPr>
              <w:t>餐次</w:t>
            </w:r>
          </w:p>
        </w:tc>
        <w:tc>
          <w:tcPr>
            <w:tcW w:type="dxa" w:w="1152"/>
          </w:tcPr>
          <w:p>
            <w:pPr>
              <w:spacing w:line="300" w:lineRule="auto" w:after="40"/>
            </w:pPr>
            <w:r/>
            <w:r>
              <w:rPr>
                <w:rFonts w:ascii="宋体" w:hAnsi="宋体" w:eastAsia="宋体"/>
                <w:b w:val="0"/>
                <w:sz w:val="20"/>
              </w:rPr>
              <w:t>0.19</w:t>
            </w:r>
          </w:p>
        </w:tc>
        <w:tc>
          <w:tcPr>
            <w:tcW w:type="dxa" w:w="1690"/>
          </w:tcPr>
          <w:p>
            <w:pPr>
              <w:spacing w:line="300" w:lineRule="auto" w:after="40"/>
            </w:pPr>
            <w:r/>
            <w:r>
              <w:rPr>
                <w:rFonts w:ascii="宋体" w:hAnsi="宋体" w:eastAsia="宋体"/>
                <w:b w:val="0"/>
                <w:sz w:val="20"/>
              </w:rPr>
              <w:t>按每餐平均浪费量折算</w:t>
            </w:r>
          </w:p>
        </w:tc>
        <w:tc>
          <w:tcPr>
            <w:tcW w:type="dxa" w:w="2611"/>
          </w:tcPr>
          <w:p>
            <w:pPr>
              <w:spacing w:line="300" w:lineRule="auto" w:after="40"/>
            </w:pPr>
            <w:r/>
            <w:r>
              <w:rPr>
                <w:rFonts w:ascii="宋体" w:hAnsi="宋体" w:eastAsia="宋体"/>
                <w:b w:val="0"/>
                <w:sz w:val="20"/>
              </w:rPr>
              <w:t>中科院地理所＋WWF（2018）× FAO（2013）折算</w:t>
            </w:r>
          </w:p>
        </w:tc>
      </w:tr>
      <w:tr>
        <w:trPr>
          <w:cantSplit/>
        </w:trPr>
        <w:tc>
          <w:tcPr>
            <w:tcW w:type="dxa" w:w="960"/>
          </w:tcPr>
          <w:p>
            <w:pPr>
              <w:spacing w:line="300" w:lineRule="auto" w:after="40"/>
            </w:pPr>
            <w:r/>
            <w:r>
              <w:rPr>
                <w:rFonts w:ascii="宋体" w:hAnsi="宋体" w:eastAsia="宋体"/>
                <w:b w:val="0"/>
                <w:sz w:val="20"/>
              </w:rPr>
              <w:t>光盘行动</w:t>
            </w:r>
          </w:p>
        </w:tc>
        <w:tc>
          <w:tcPr>
            <w:tcW w:type="dxa" w:w="1498"/>
          </w:tcPr>
          <w:p>
            <w:pPr>
              <w:spacing w:line="300" w:lineRule="auto" w:after="40"/>
            </w:pPr>
            <w:r/>
            <w:r>
              <w:rPr>
                <w:rFonts w:ascii="宋体" w:hAnsi="宋体" w:eastAsia="宋体"/>
                <w:b w:val="0"/>
                <w:sz w:val="20"/>
              </w:rPr>
              <w:t>减少食物浪费</w:t>
            </w:r>
          </w:p>
        </w:tc>
        <w:tc>
          <w:tcPr>
            <w:tcW w:type="dxa" w:w="730"/>
          </w:tcPr>
          <w:p>
            <w:pPr>
              <w:spacing w:line="300" w:lineRule="auto" w:after="40"/>
            </w:pPr>
            <w:r/>
            <w:r>
              <w:rPr>
                <w:rFonts w:ascii="宋体" w:hAnsi="宋体" w:eastAsia="宋体"/>
                <w:b w:val="0"/>
                <w:sz w:val="20"/>
              </w:rPr>
              <w:t>公斤</w:t>
            </w:r>
          </w:p>
        </w:tc>
        <w:tc>
          <w:tcPr>
            <w:tcW w:type="dxa" w:w="1152"/>
          </w:tcPr>
          <w:p>
            <w:pPr>
              <w:spacing w:line="300" w:lineRule="auto" w:after="40"/>
            </w:pPr>
            <w:r/>
            <w:r>
              <w:rPr>
                <w:rFonts w:ascii="宋体" w:hAnsi="宋体" w:eastAsia="宋体"/>
                <w:b w:val="0"/>
                <w:sz w:val="20"/>
              </w:rPr>
              <w:t>2.06</w:t>
            </w:r>
          </w:p>
        </w:tc>
        <w:tc>
          <w:tcPr>
            <w:tcW w:type="dxa" w:w="1690"/>
          </w:tcPr>
          <w:p>
            <w:pPr>
              <w:spacing w:line="300" w:lineRule="auto" w:after="40"/>
            </w:pPr>
            <w:r/>
            <w:r>
              <w:rPr>
                <w:rFonts w:ascii="宋体" w:hAnsi="宋体" w:eastAsia="宋体"/>
                <w:b w:val="0"/>
                <w:sz w:val="20"/>
              </w:rPr>
              <w:t>混合食物碳强度均值</w:t>
            </w:r>
          </w:p>
        </w:tc>
        <w:tc>
          <w:tcPr>
            <w:tcW w:type="dxa" w:w="2611"/>
          </w:tcPr>
          <w:p>
            <w:pPr>
              <w:spacing w:line="300" w:lineRule="auto" w:after="40"/>
            </w:pPr>
            <w:r/>
            <w:r>
              <w:rPr>
                <w:rFonts w:ascii="宋体" w:hAnsi="宋体" w:eastAsia="宋体"/>
                <w:b w:val="0"/>
                <w:sz w:val="20"/>
              </w:rPr>
              <w:t>FAO《Food Wastage Footprint》（2013）折算</w:t>
            </w:r>
          </w:p>
        </w:tc>
      </w:tr>
    </w:tbl>
    <w:p>
      <w:pPr>
        <w:spacing w:after="40"/>
      </w:pPr>
    </w:p>
    <w:p>
      <w:pPr>
        <w:spacing w:line="312" w:lineRule="auto" w:after="200"/>
        <w:jc w:val="center"/>
      </w:pPr>
      <w:r>
        <w:rPr>
          <w:rFonts w:ascii="宋体" w:hAnsi="宋体" w:eastAsia="宋体"/>
          <w:b w:val="0"/>
          <w:color w:val="606060"/>
          <w:sz w:val="21"/>
        </w:rPr>
        <w:t>表 6  内置碳排放因子明细</w:t>
      </w:r>
    </w:p>
    <w:p>
      <w:pPr>
        <w:spacing w:line="360" w:lineRule="auto" w:before="200" w:after="160"/>
      </w:pPr>
      <w:r>
        <w:rPr>
          <w:rFonts w:ascii="宋体" w:hAnsi="宋体" w:eastAsia="宋体"/>
          <w:b/>
          <w:sz w:val="28"/>
        </w:rPr>
        <w:t>5.4 口径说明与局限性</w:t>
      </w:r>
    </w:p>
    <w:p>
      <w:pPr>
        <w:spacing w:line="360" w:lineRule="auto" w:after="120"/>
        <w:ind w:firstLine="480"/>
      </w:pPr>
      <w:r>
        <w:rPr>
          <w:rFonts w:ascii="宋体" w:hAnsi="宋体" w:eastAsia="宋体"/>
          <w:b w:val="0"/>
          <w:sz w:val="24"/>
        </w:rPr>
        <w:t>为保证数据可追溯，以下三点在设计中做了明确处理，也在此如实说明：</w:t>
      </w:r>
    </w:p>
    <w:p>
      <w:pPr>
        <w:spacing w:line="360" w:lineRule="auto" w:after="120"/>
        <w:ind w:firstLine="480"/>
      </w:pPr>
      <w:r>
        <w:rPr>
          <w:rFonts w:ascii="宋体" w:hAnsi="宋体" w:eastAsia="宋体"/>
          <w:b w:val="0"/>
          <w:sz w:val="24"/>
        </w:rPr>
        <w:t>其一，出行类的基准情景为「燃油小汽车 0.19567 kgCO₂e/车·公里」，该数值来自 CPCD 中型汽油轿车「大门到坟墓」全生命周期口径，并假设为单人驾车（此时车·公里等于人·公里）。若多人共乘，人均排放应除以乘员数，本作品暂未做此折算，已在应用内说明。</w:t>
      </w:r>
    </w:p>
    <w:p>
      <w:pPr>
        <w:spacing w:line="360" w:lineRule="auto" w:after="120"/>
        <w:ind w:firstLine="480"/>
      </w:pPr>
      <w:r>
        <w:rPr>
          <w:rFonts w:ascii="宋体" w:hAnsi="宋体" w:eastAsia="宋体"/>
          <w:b w:val="0"/>
          <w:sz w:val="24"/>
        </w:rPr>
        <w:t>其二，回收类、节水类与光盘行动类的部分因子采用英国 DEFRA 口径，原因是生态环境部等主管部门尚未发布对应的中国官方因子。此类因子在应用界面中均以「英国口径」明确标注，不做模糊处理。</w:t>
      </w:r>
    </w:p>
    <w:p>
      <w:pPr>
        <w:spacing w:line="360" w:lineRule="auto" w:after="120"/>
        <w:ind w:firstLine="480"/>
      </w:pPr>
      <w:r>
        <w:rPr>
          <w:rFonts w:ascii="宋体" w:hAnsi="宋体" w:eastAsia="宋体"/>
          <w:b w:val="0"/>
          <w:sz w:val="24"/>
        </w:rPr>
        <w:t>其三，少开空调采用「节约的电量（度）」计量，而不采用「小时」。原因是每小时耗电量随空调匹数、能效等级与环境温度差异极大，目前没有权威出处可依，按小时计量会引入不可控误差。</w:t>
      </w:r>
    </w:p>
    <w:p>
      <w:pPr>
        <w:spacing w:line="360" w:lineRule="auto" w:after="120"/>
        <w:ind w:firstLine="480"/>
      </w:pPr>
      <w:r>
        <w:rPr>
          <w:rFonts w:ascii="宋体" w:hAnsi="宋体" w:eastAsia="宋体"/>
          <w:b w:val="0"/>
          <w:sz w:val="24"/>
        </w:rPr>
        <w:t>此外需要说明两处容易误用的资料：生态环境部《大型活动碳中和实施指南（试行）》本身不含任何排放因子数值，它给出的是「排放源对应哪份标准」的对照关系，本作品将其作为合规性依据而非数值来源；《省级温室气体清单编制指南》属于区域清单方法学，其中并无「每人公里」口径的交通因子，不能直接用作个人出行因子。</w:t>
      </w:r>
    </w:p>
    <w:p>
      <w:r>
        <w:br w:type="page"/>
      </w:r>
    </w:p>
    <w:p>
      <w:pPr>
        <w:spacing w:line="360" w:lineRule="auto" w:before="280" w:after="160"/>
      </w:pPr>
      <w:r>
        <w:rPr>
          <w:rFonts w:ascii="黑体" w:hAnsi="黑体" w:eastAsia="黑体"/>
          <w:b/>
          <w:color w:val="1F9A4E"/>
          <w:sz w:val="32"/>
        </w:rPr>
        <w:t>六、测试结果</w:t>
      </w:r>
    </w:p>
    <w:p>
      <w:pPr>
        <w:spacing w:line="360" w:lineRule="auto" w:before="200" w:after="160"/>
      </w:pPr>
      <w:r>
        <w:rPr>
          <w:rFonts w:ascii="宋体" w:hAnsi="宋体" w:eastAsia="宋体"/>
          <w:b/>
          <w:sz w:val="28"/>
        </w:rPr>
        <w:t>6.1 测试环境</w:t>
      </w:r>
    </w:p>
    <w:tbl>
      <w:tblPr>
        <w:tblStyle w:val="TableGrid"/>
        <w:tblW w:type="auto" w:w="0"/>
        <w:jc w:val="center"/>
        <w:tblLayout w:type="fixed"/>
        <w:tblLook w:firstColumn="1" w:firstRow="1" w:lastColumn="0" w:lastRow="0" w:noHBand="0" w:noVBand="1" w:val="04A0"/>
      </w:tblPr>
      <w:tblGrid>
        <w:gridCol w:w="4320"/>
        <w:gridCol w:w="4320"/>
      </w:tblGrid>
      <w:tr>
        <w:trPr>
          <w:tblHeader/>
          <w:cantSplit/>
        </w:trPr>
        <w:tc>
          <w:tcPr>
            <w:tcW w:type="dxa" w:w="2112"/>
          </w:tcPr>
          <w:p>
            <w:pPr>
              <w:spacing w:line="300" w:lineRule="auto" w:after="40"/>
              <w:jc w:val="center"/>
            </w:pPr>
            <w:r/>
            <w:r>
              <w:rPr>
                <w:rFonts w:ascii="宋体" w:hAnsi="宋体" w:eastAsia="宋体"/>
                <w:b/>
                <w:sz w:val="20"/>
              </w:rPr>
              <w:t>项目</w:t>
            </w:r>
          </w:p>
        </w:tc>
        <w:tc>
          <w:tcPr>
            <w:tcW w:type="dxa" w:w="6528"/>
          </w:tcPr>
          <w:p>
            <w:pPr>
              <w:spacing w:line="300" w:lineRule="auto" w:after="40"/>
              <w:jc w:val="center"/>
            </w:pPr>
            <w:r/>
            <w:r>
              <w:rPr>
                <w:rFonts w:ascii="宋体" w:hAnsi="宋体" w:eastAsia="宋体"/>
                <w:b/>
                <w:sz w:val="20"/>
              </w:rPr>
              <w:t>配置</w:t>
            </w:r>
          </w:p>
        </w:tc>
      </w:tr>
      <w:tr>
        <w:trPr>
          <w:cantSplit/>
        </w:trPr>
        <w:tc>
          <w:tcPr>
            <w:tcW w:type="dxa" w:w="2112"/>
          </w:tcPr>
          <w:p>
            <w:pPr>
              <w:spacing w:line="300" w:lineRule="auto" w:after="40"/>
            </w:pPr>
            <w:r/>
            <w:r>
              <w:rPr>
                <w:rFonts w:ascii="宋体" w:hAnsi="宋体" w:eastAsia="宋体"/>
                <w:b w:val="0"/>
                <w:sz w:val="20"/>
              </w:rPr>
              <w:t>测试设备</w:t>
            </w:r>
          </w:p>
        </w:tc>
        <w:tc>
          <w:tcPr>
            <w:tcW w:type="dxa" w:w="6528"/>
          </w:tcPr>
          <w:p>
            <w:pPr>
              <w:spacing w:line="300" w:lineRule="auto" w:after="40"/>
            </w:pPr>
            <w:r/>
            <w:r>
              <w:rPr>
                <w:rFonts w:ascii="宋体" w:hAnsi="宋体" w:eastAsia="宋体"/>
                <w:b w:val="0"/>
                <w:sz w:val="20"/>
              </w:rPr>
              <w:t>HarmonyOS 7.0.0 手机模拟器（分辨率 1320×2232，RAM 4 GB）</w:t>
            </w:r>
          </w:p>
        </w:tc>
      </w:tr>
      <w:tr>
        <w:trPr>
          <w:cantSplit/>
        </w:trPr>
        <w:tc>
          <w:tcPr>
            <w:tcW w:type="dxa" w:w="2112"/>
          </w:tcPr>
          <w:p>
            <w:pPr>
              <w:spacing w:line="300" w:lineRule="auto" w:after="40"/>
            </w:pPr>
            <w:r/>
            <w:r>
              <w:rPr>
                <w:rFonts w:ascii="宋体" w:hAnsi="宋体" w:eastAsia="宋体"/>
                <w:b w:val="0"/>
                <w:sz w:val="20"/>
              </w:rPr>
              <w:t>开发工具</w:t>
            </w:r>
          </w:p>
        </w:tc>
        <w:tc>
          <w:tcPr>
            <w:tcW w:type="dxa" w:w="6528"/>
          </w:tcPr>
          <w:p>
            <w:pPr>
              <w:spacing w:line="300" w:lineRule="auto" w:after="40"/>
            </w:pPr>
            <w:r/>
            <w:r>
              <w:rPr>
                <w:rFonts w:ascii="宋体" w:hAnsi="宋体" w:eastAsia="宋体"/>
                <w:b w:val="0"/>
                <w:sz w:val="20"/>
              </w:rPr>
              <w:t>DevEco Studio</w:t>
            </w:r>
          </w:p>
        </w:tc>
      </w:tr>
      <w:tr>
        <w:trPr>
          <w:cantSplit/>
        </w:trPr>
        <w:tc>
          <w:tcPr>
            <w:tcW w:type="dxa" w:w="2112"/>
          </w:tcPr>
          <w:p>
            <w:pPr>
              <w:spacing w:line="300" w:lineRule="auto" w:after="40"/>
            </w:pPr>
            <w:r/>
            <w:r>
              <w:rPr>
                <w:rFonts w:ascii="宋体" w:hAnsi="宋体" w:eastAsia="宋体"/>
                <w:b w:val="0"/>
                <w:sz w:val="20"/>
              </w:rPr>
              <w:t>编译目标</w:t>
            </w:r>
          </w:p>
        </w:tc>
        <w:tc>
          <w:tcPr>
            <w:tcW w:type="dxa" w:w="6528"/>
          </w:tcPr>
          <w:p>
            <w:pPr>
              <w:spacing w:line="300" w:lineRule="auto" w:after="40"/>
            </w:pPr>
            <w:r/>
            <w:r>
              <w:rPr>
                <w:rFonts w:ascii="宋体" w:hAnsi="宋体" w:eastAsia="宋体"/>
                <w:b w:val="0"/>
                <w:sz w:val="20"/>
              </w:rPr>
              <w:t>compatibleSdkVersion 5.0.0(12)</w:t>
            </w:r>
          </w:p>
        </w:tc>
      </w:tr>
      <w:tr>
        <w:trPr>
          <w:cantSplit/>
        </w:trPr>
        <w:tc>
          <w:tcPr>
            <w:tcW w:type="dxa" w:w="2112"/>
          </w:tcPr>
          <w:p>
            <w:pPr>
              <w:spacing w:line="300" w:lineRule="auto" w:after="40"/>
            </w:pPr>
            <w:r/>
            <w:r>
              <w:rPr>
                <w:rFonts w:ascii="宋体" w:hAnsi="宋体" w:eastAsia="宋体"/>
                <w:b w:val="0"/>
                <w:sz w:val="20"/>
              </w:rPr>
              <w:t>安装方式</w:t>
            </w:r>
          </w:p>
        </w:tc>
        <w:tc>
          <w:tcPr>
            <w:tcW w:type="dxa" w:w="6528"/>
          </w:tcPr>
          <w:p>
            <w:pPr>
              <w:spacing w:line="300" w:lineRule="auto" w:after="40"/>
            </w:pPr>
            <w:r/>
            <w:r>
              <w:rPr>
                <w:rFonts w:ascii="宋体" w:hAnsi="宋体" w:eastAsia="宋体"/>
                <w:b w:val="0"/>
                <w:sz w:val="20"/>
              </w:rPr>
              <w:t>本地签名后通过 hdc 安装</w:t>
            </w:r>
          </w:p>
        </w:tc>
      </w:tr>
    </w:tbl>
    <w:p>
      <w:pPr>
        <w:spacing w:after="40"/>
      </w:pPr>
    </w:p>
    <w:p>
      <w:pPr>
        <w:spacing w:line="312" w:lineRule="auto" w:after="200"/>
        <w:jc w:val="center"/>
      </w:pPr>
      <w:r>
        <w:rPr>
          <w:rFonts w:ascii="宋体" w:hAnsi="宋体" w:eastAsia="宋体"/>
          <w:b w:val="0"/>
          <w:color w:val="606060"/>
          <w:sz w:val="21"/>
        </w:rPr>
        <w:t>表 7  测试环境</w:t>
      </w:r>
    </w:p>
    <w:p>
      <w:pPr>
        <w:spacing w:line="360" w:lineRule="auto" w:before="200" w:after="160"/>
      </w:pPr>
      <w:r>
        <w:rPr>
          <w:rFonts w:ascii="宋体" w:hAnsi="宋体" w:eastAsia="宋体"/>
          <w:b/>
          <w:sz w:val="28"/>
        </w:rPr>
        <w:t>6.2 功能测试</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1824"/>
          </w:tcPr>
          <w:p>
            <w:pPr>
              <w:spacing w:line="300" w:lineRule="auto" w:after="40"/>
              <w:jc w:val="center"/>
            </w:pPr>
            <w:r/>
            <w:r>
              <w:rPr>
                <w:rFonts w:ascii="宋体" w:hAnsi="宋体" w:eastAsia="宋体"/>
                <w:b/>
                <w:sz w:val="20"/>
              </w:rPr>
              <w:t>测试项</w:t>
            </w:r>
          </w:p>
        </w:tc>
        <w:tc>
          <w:tcPr>
            <w:tcW w:type="dxa" w:w="4800"/>
          </w:tcPr>
          <w:p>
            <w:pPr>
              <w:spacing w:line="300" w:lineRule="auto" w:after="40"/>
              <w:jc w:val="center"/>
            </w:pPr>
            <w:r/>
            <w:r>
              <w:rPr>
                <w:rFonts w:ascii="宋体" w:hAnsi="宋体" w:eastAsia="宋体"/>
                <w:b/>
                <w:sz w:val="20"/>
              </w:rPr>
              <w:t>操作与预期</w:t>
            </w:r>
          </w:p>
        </w:tc>
        <w:tc>
          <w:tcPr>
            <w:tcW w:type="dxa" w:w="2016"/>
          </w:tcPr>
          <w:p>
            <w:pPr>
              <w:spacing w:line="300" w:lineRule="auto" w:after="40"/>
              <w:jc w:val="center"/>
            </w:pPr>
            <w:r/>
            <w:r>
              <w:rPr>
                <w:rFonts w:ascii="宋体" w:hAnsi="宋体" w:eastAsia="宋体"/>
                <w:b/>
                <w:sz w:val="20"/>
              </w:rPr>
              <w:t>结果</w:t>
            </w:r>
          </w:p>
        </w:tc>
      </w:tr>
      <w:tr>
        <w:trPr>
          <w:cantSplit/>
        </w:trPr>
        <w:tc>
          <w:tcPr>
            <w:tcW w:type="dxa" w:w="1824"/>
          </w:tcPr>
          <w:p>
            <w:pPr>
              <w:spacing w:line="300" w:lineRule="auto" w:after="40"/>
            </w:pPr>
            <w:r/>
            <w:r>
              <w:rPr>
                <w:rFonts w:ascii="宋体" w:hAnsi="宋体" w:eastAsia="宋体"/>
                <w:b w:val="0"/>
                <w:sz w:val="20"/>
              </w:rPr>
              <w:t>低碳行为核算</w:t>
            </w:r>
          </w:p>
        </w:tc>
        <w:tc>
          <w:tcPr>
            <w:tcW w:type="dxa" w:w="4800"/>
          </w:tcPr>
          <w:p>
            <w:pPr>
              <w:spacing w:line="300" w:lineRule="auto" w:after="40"/>
            </w:pPr>
            <w:r/>
            <w:r>
              <w:rPr>
                <w:rFonts w:ascii="宋体" w:hAnsi="宋体" w:eastAsia="宋体"/>
                <w:b w:val="0"/>
                <w:sz w:val="20"/>
              </w:rPr>
              <w:t>录入 12 公里步行，预期减排 12 × 0.19567 ≈ 2.35 kg CO₂e，发放 235 积分</w:t>
            </w:r>
          </w:p>
        </w:tc>
        <w:tc>
          <w:tcPr>
            <w:tcW w:type="dxa" w:w="2016"/>
          </w:tcPr>
          <w:p>
            <w:pPr>
              <w:spacing w:line="300" w:lineRule="auto" w:after="40"/>
            </w:pPr>
            <w:r/>
            <w:r>
              <w:rPr>
                <w:rFonts w:ascii="宋体" w:hAnsi="宋体" w:eastAsia="宋体"/>
                <w:b w:val="0"/>
                <w:sz w:val="20"/>
              </w:rPr>
              <w:t>通过（数值完全一致）</w:t>
            </w:r>
          </w:p>
        </w:tc>
      </w:tr>
      <w:tr>
        <w:trPr>
          <w:cantSplit/>
        </w:trPr>
        <w:tc>
          <w:tcPr>
            <w:tcW w:type="dxa" w:w="1824"/>
          </w:tcPr>
          <w:p>
            <w:pPr>
              <w:spacing w:line="300" w:lineRule="auto" w:after="40"/>
            </w:pPr>
            <w:r/>
            <w:r>
              <w:rPr>
                <w:rFonts w:ascii="宋体" w:hAnsi="宋体" w:eastAsia="宋体"/>
                <w:b w:val="0"/>
                <w:sz w:val="20"/>
              </w:rPr>
              <w:t>数据持久化</w:t>
            </w:r>
          </w:p>
        </w:tc>
        <w:tc>
          <w:tcPr>
            <w:tcW w:type="dxa" w:w="4800"/>
          </w:tcPr>
          <w:p>
            <w:pPr>
              <w:spacing w:line="300" w:lineRule="auto" w:after="40"/>
            </w:pPr>
            <w:r/>
            <w:r>
              <w:rPr>
                <w:rFonts w:ascii="宋体" w:hAnsi="宋体" w:eastAsia="宋体"/>
                <w:b w:val="0"/>
                <w:sz w:val="20"/>
              </w:rPr>
              <w:t>录入后重新安装应用，预期数据仍在</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看板折线图</w:t>
            </w:r>
          </w:p>
        </w:tc>
        <w:tc>
          <w:tcPr>
            <w:tcW w:type="dxa" w:w="4800"/>
          </w:tcPr>
          <w:p>
            <w:pPr>
              <w:spacing w:line="300" w:lineRule="auto" w:after="40"/>
            </w:pPr>
            <w:r/>
            <w:r>
              <w:rPr>
                <w:rFonts w:ascii="宋体" w:hAnsi="宋体" w:eastAsia="宋体"/>
                <w:b w:val="0"/>
                <w:sz w:val="20"/>
              </w:rPr>
              <w:t>切换日／周／月／年，预期曲线与横轴标签同步更新</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看板柱状图</w:t>
            </w:r>
          </w:p>
        </w:tc>
        <w:tc>
          <w:tcPr>
            <w:tcW w:type="dxa" w:w="4800"/>
          </w:tcPr>
          <w:p>
            <w:pPr>
              <w:spacing w:line="300" w:lineRule="auto" w:after="40"/>
            </w:pPr>
            <w:r/>
            <w:r>
              <w:rPr>
                <w:rFonts w:ascii="宋体" w:hAnsi="宋体" w:eastAsia="宋体"/>
                <w:b w:val="0"/>
                <w:sz w:val="20"/>
              </w:rPr>
              <w:t>预期显示四个类目对比，横轴显示类目名称，柱顶标注数值</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看板环形图与图例</w:t>
            </w:r>
          </w:p>
        </w:tc>
        <w:tc>
          <w:tcPr>
            <w:tcW w:type="dxa" w:w="4800"/>
          </w:tcPr>
          <w:p>
            <w:pPr>
              <w:spacing w:line="300" w:lineRule="auto" w:after="40"/>
            </w:pPr>
            <w:r/>
            <w:r>
              <w:rPr>
                <w:rFonts w:ascii="宋体" w:hAnsi="宋体" w:eastAsia="宋体"/>
                <w:b w:val="0"/>
                <w:sz w:val="20"/>
              </w:rPr>
              <w:t>预期中心显示累计总量，图例给出百分比与进度条</w:t>
            </w:r>
          </w:p>
        </w:tc>
        <w:tc>
          <w:tcPr>
            <w:tcW w:type="dxa" w:w="2016"/>
          </w:tcPr>
          <w:p>
            <w:pPr>
              <w:spacing w:line="300" w:lineRule="auto" w:after="40"/>
            </w:pPr>
            <w:r/>
            <w:r>
              <w:rPr>
                <w:rFonts w:ascii="宋体" w:hAnsi="宋体" w:eastAsia="宋体"/>
                <w:b w:val="0"/>
                <w:sz w:val="20"/>
              </w:rPr>
              <w:t>通过（百分比合计 100%，修复了曾出现的 2841% 异常值）</w:t>
            </w:r>
          </w:p>
        </w:tc>
      </w:tr>
      <w:tr>
        <w:trPr>
          <w:cantSplit/>
        </w:trPr>
        <w:tc>
          <w:tcPr>
            <w:tcW w:type="dxa" w:w="1824"/>
          </w:tcPr>
          <w:p>
            <w:pPr>
              <w:spacing w:line="300" w:lineRule="auto" w:after="40"/>
            </w:pPr>
            <w:r/>
            <w:r>
              <w:rPr>
                <w:rFonts w:ascii="宋体" w:hAnsi="宋体" w:eastAsia="宋体"/>
                <w:b w:val="0"/>
                <w:sz w:val="20"/>
              </w:rPr>
              <w:t>减排日历热力图</w:t>
            </w:r>
          </w:p>
        </w:tc>
        <w:tc>
          <w:tcPr>
            <w:tcW w:type="dxa" w:w="4800"/>
          </w:tcPr>
          <w:p>
            <w:pPr>
              <w:spacing w:line="300" w:lineRule="auto" w:after="40"/>
            </w:pPr>
            <w:r/>
            <w:r>
              <w:rPr>
                <w:rFonts w:ascii="宋体" w:hAnsi="宋体" w:eastAsia="宋体"/>
                <w:b w:val="0"/>
                <w:sz w:val="20"/>
              </w:rPr>
              <w:t>查看 12 周 × 7 天网格与连续记录天数</w:t>
            </w:r>
          </w:p>
        </w:tc>
        <w:tc>
          <w:tcPr>
            <w:tcW w:type="dxa" w:w="2016"/>
          </w:tcPr>
          <w:p>
            <w:pPr>
              <w:spacing w:line="300" w:lineRule="auto" w:after="40"/>
            </w:pPr>
            <w:r/>
            <w:r>
              <w:rPr>
                <w:rFonts w:ascii="宋体" w:hAnsi="宋体" w:eastAsia="宋体"/>
                <w:b w:val="0"/>
                <w:sz w:val="20"/>
              </w:rPr>
              <w:t>通过（色阶按当日减排量分档，连续天数与记录一致）</w:t>
            </w:r>
          </w:p>
        </w:tc>
      </w:tr>
      <w:tr>
        <w:trPr>
          <w:cantSplit/>
        </w:trPr>
        <w:tc>
          <w:tcPr>
            <w:tcW w:type="dxa" w:w="1824"/>
          </w:tcPr>
          <w:p>
            <w:pPr>
              <w:spacing w:line="300" w:lineRule="auto" w:after="40"/>
            </w:pPr>
            <w:r/>
            <w:r>
              <w:rPr>
                <w:rFonts w:ascii="宋体" w:hAnsi="宋体" w:eastAsia="宋体"/>
                <w:b w:val="0"/>
                <w:sz w:val="20"/>
              </w:rPr>
              <w:t>我的年度碳迹</w:t>
            </w:r>
          </w:p>
        </w:tc>
        <w:tc>
          <w:tcPr>
            <w:tcW w:type="dxa" w:w="4800"/>
          </w:tcPr>
          <w:p>
            <w:pPr>
              <w:spacing w:line="300" w:lineRule="auto" w:after="40"/>
            </w:pPr>
            <w:r/>
            <w:r>
              <w:rPr>
                <w:rFonts w:ascii="宋体" w:hAnsi="宋体" w:eastAsia="宋体"/>
                <w:b w:val="0"/>
                <w:sz w:val="20"/>
              </w:rPr>
              <w:t>从看板入口进入报告页，核对全年汇总与减排构成</w:t>
            </w:r>
          </w:p>
        </w:tc>
        <w:tc>
          <w:tcPr>
            <w:tcW w:type="dxa" w:w="2016"/>
          </w:tcPr>
          <w:p>
            <w:pPr>
              <w:spacing w:line="300" w:lineRule="auto" w:after="40"/>
            </w:pPr>
            <w:r/>
            <w:r>
              <w:rPr>
                <w:rFonts w:ascii="宋体" w:hAnsi="宋体" w:eastAsia="宋体"/>
                <w:b w:val="0"/>
                <w:sz w:val="20"/>
              </w:rPr>
              <w:t>通过（与看板数据完全一致）</w:t>
            </w:r>
          </w:p>
        </w:tc>
      </w:tr>
      <w:tr>
        <w:trPr>
          <w:cantSplit/>
        </w:trPr>
        <w:tc>
          <w:tcPr>
            <w:tcW w:type="dxa" w:w="1824"/>
          </w:tcPr>
          <w:p>
            <w:pPr>
              <w:spacing w:line="300" w:lineRule="auto" w:after="40"/>
            </w:pPr>
            <w:r/>
            <w:r>
              <w:rPr>
                <w:rFonts w:ascii="宋体" w:hAnsi="宋体" w:eastAsia="宋体"/>
                <w:b w:val="0"/>
                <w:sz w:val="20"/>
              </w:rPr>
              <w:t>碳积分体系</w:t>
            </w:r>
          </w:p>
        </w:tc>
        <w:tc>
          <w:tcPr>
            <w:tcW w:type="dxa" w:w="4800"/>
          </w:tcPr>
          <w:p>
            <w:pPr>
              <w:spacing w:line="300" w:lineRule="auto" w:after="40"/>
            </w:pPr>
            <w:r/>
            <w:r>
              <w:rPr>
                <w:rFonts w:ascii="宋体" w:hAnsi="宋体" w:eastAsia="宋体"/>
                <w:b w:val="0"/>
                <w:sz w:val="20"/>
              </w:rPr>
              <w:t>1,462 分下检查勋章与权益兑换可用性</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科普专栏</w:t>
            </w:r>
          </w:p>
        </w:tc>
        <w:tc>
          <w:tcPr>
            <w:tcW w:type="dxa" w:w="4800"/>
          </w:tcPr>
          <w:p>
            <w:pPr>
              <w:spacing w:line="300" w:lineRule="auto" w:after="40"/>
            </w:pPr>
            <w:r/>
            <w:r>
              <w:rPr>
                <w:rFonts w:ascii="宋体" w:hAnsi="宋体" w:eastAsia="宋体"/>
                <w:b w:val="0"/>
                <w:sz w:val="20"/>
              </w:rPr>
              <w:t>8 篇文章按标签筛选与展开阅读</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数据管理</w:t>
            </w:r>
          </w:p>
        </w:tc>
        <w:tc>
          <w:tcPr>
            <w:tcW w:type="dxa" w:w="4800"/>
          </w:tcPr>
          <w:p>
            <w:pPr>
              <w:spacing w:line="300" w:lineRule="auto" w:after="40"/>
            </w:pPr>
            <w:r/>
            <w:r>
              <w:rPr>
                <w:rFonts w:ascii="宋体" w:hAnsi="宋体" w:eastAsia="宋体"/>
                <w:b w:val="0"/>
                <w:sz w:val="20"/>
              </w:rPr>
              <w:t>备份为 JSON、导出 CSV，文件写入沙箱并回显路径</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智能任务推荐</w:t>
            </w:r>
          </w:p>
        </w:tc>
        <w:tc>
          <w:tcPr>
            <w:tcW w:type="dxa" w:w="4800"/>
          </w:tcPr>
          <w:p>
            <w:pPr>
              <w:spacing w:line="300" w:lineRule="auto" w:after="40"/>
            </w:pPr>
            <w:r/>
            <w:r>
              <w:rPr>
                <w:rFonts w:ascii="宋体" w:hAnsi="宋体" w:eastAsia="宋体"/>
                <w:b w:val="0"/>
                <w:sz w:val="20"/>
              </w:rPr>
              <w:t>当日已记录出行后，剩余三类成为待办任务</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生活建议</w:t>
            </w:r>
          </w:p>
        </w:tc>
        <w:tc>
          <w:tcPr>
            <w:tcW w:type="dxa" w:w="4800"/>
          </w:tcPr>
          <w:p>
            <w:pPr>
              <w:spacing w:line="300" w:lineRule="auto" w:after="40"/>
            </w:pPr>
            <w:r/>
            <w:r>
              <w:rPr>
                <w:rFonts w:ascii="宋体" w:hAnsi="宋体" w:eastAsia="宋体"/>
                <w:b w:val="0"/>
                <w:sz w:val="20"/>
              </w:rPr>
              <w:t>预期根据数据给出趋势对比与短板提醒</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分享图生成</w:t>
            </w:r>
          </w:p>
        </w:tc>
        <w:tc>
          <w:tcPr>
            <w:tcW w:type="dxa" w:w="4800"/>
          </w:tcPr>
          <w:p>
            <w:pPr>
              <w:spacing w:line="300" w:lineRule="auto" w:after="40"/>
            </w:pPr>
            <w:r/>
            <w:r>
              <w:rPr>
                <w:rFonts w:ascii="宋体" w:hAnsi="宋体" w:eastAsia="宋体"/>
                <w:b w:val="0"/>
                <w:sz w:val="20"/>
              </w:rPr>
              <w:t>点击生成后，沙箱内出现 PNG 文件（约 97 KB）</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同步面板</w:t>
            </w:r>
          </w:p>
        </w:tc>
        <w:tc>
          <w:tcPr>
            <w:tcW w:type="dxa" w:w="4800"/>
          </w:tcPr>
          <w:p>
            <w:pPr>
              <w:spacing w:line="300" w:lineRule="auto" w:after="40"/>
            </w:pPr>
            <w:r/>
            <w:r>
              <w:rPr>
                <w:rFonts w:ascii="宋体" w:hAnsi="宋体" w:eastAsia="宋体"/>
                <w:b w:val="0"/>
                <w:sz w:val="20"/>
              </w:rPr>
              <w:t>预期显示本机标识、可信设备、同步结果与冲突计数</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桌面服务卡片</w:t>
            </w:r>
          </w:p>
        </w:tc>
        <w:tc>
          <w:tcPr>
            <w:tcW w:type="dxa" w:w="4800"/>
          </w:tcPr>
          <w:p>
            <w:pPr>
              <w:spacing w:line="300" w:lineRule="auto" w:after="40"/>
            </w:pPr>
            <w:r/>
            <w:r>
              <w:rPr>
                <w:rFonts w:ascii="宋体" w:hAnsi="宋体" w:eastAsia="宋体"/>
                <w:b w:val="0"/>
                <w:sz w:val="20"/>
              </w:rPr>
              <w:t>长按图标出现卡片入口，卡片渲染今日数据</w:t>
            </w:r>
          </w:p>
        </w:tc>
        <w:tc>
          <w:tcPr>
            <w:tcW w:type="dxa" w:w="2016"/>
          </w:tcPr>
          <w:p>
            <w:pPr>
              <w:spacing w:line="300" w:lineRule="auto" w:after="40"/>
            </w:pPr>
            <w:r/>
            <w:r>
              <w:rPr>
                <w:rFonts w:ascii="宋体" w:hAnsi="宋体" w:eastAsia="宋体"/>
                <w:b w:val="0"/>
                <w:sz w:val="20"/>
              </w:rPr>
              <w:t>通过</w:t>
            </w:r>
          </w:p>
        </w:tc>
      </w:tr>
      <w:tr>
        <w:trPr>
          <w:cantSplit/>
        </w:trPr>
        <w:tc>
          <w:tcPr>
            <w:tcW w:type="dxa" w:w="1824"/>
          </w:tcPr>
          <w:p>
            <w:pPr>
              <w:spacing w:line="300" w:lineRule="auto" w:after="40"/>
            </w:pPr>
            <w:r/>
            <w:r>
              <w:rPr>
                <w:rFonts w:ascii="宋体" w:hAnsi="宋体" w:eastAsia="宋体"/>
                <w:b w:val="0"/>
                <w:sz w:val="20"/>
              </w:rPr>
              <w:t>端侧 AI 自检</w:t>
            </w:r>
          </w:p>
        </w:tc>
        <w:tc>
          <w:tcPr>
            <w:tcW w:type="dxa" w:w="4800"/>
          </w:tcPr>
          <w:p>
            <w:pPr>
              <w:spacing w:line="300" w:lineRule="auto" w:after="40"/>
            </w:pPr>
            <w:r/>
            <w:r>
              <w:rPr>
                <w:rFonts w:ascii="宋体" w:hAnsi="宋体" w:eastAsia="宋体"/>
                <w:b w:val="0"/>
                <w:sz w:val="20"/>
              </w:rPr>
              <w:t>模型加载并输出张量形状与 Top-5 候选</w:t>
            </w:r>
          </w:p>
        </w:tc>
        <w:tc>
          <w:tcPr>
            <w:tcW w:type="dxa" w:w="2016"/>
          </w:tcPr>
          <w:p>
            <w:pPr>
              <w:spacing w:line="300" w:lineRule="auto" w:after="40"/>
            </w:pPr>
            <w:r/>
            <w:r>
              <w:rPr>
                <w:rFonts w:ascii="宋体" w:hAnsi="宋体" w:eastAsia="宋体"/>
                <w:b w:val="0"/>
                <w:sz w:val="20"/>
              </w:rPr>
              <w:t>通过</w:t>
            </w:r>
          </w:p>
        </w:tc>
      </w:tr>
    </w:tbl>
    <w:p>
      <w:pPr>
        <w:spacing w:after="40"/>
      </w:pPr>
    </w:p>
    <w:p>
      <w:pPr>
        <w:spacing w:line="312" w:lineRule="auto" w:after="200"/>
        <w:jc w:val="center"/>
      </w:pPr>
      <w:r>
        <w:rPr>
          <w:rFonts w:ascii="宋体" w:hAnsi="宋体" w:eastAsia="宋体"/>
          <w:b w:val="0"/>
          <w:color w:val="606060"/>
          <w:sz w:val="21"/>
        </w:rPr>
        <w:t>表 8  功能测试结果</w:t>
      </w:r>
    </w:p>
    <w:p>
      <w:pPr>
        <w:spacing w:line="360" w:lineRule="auto" w:before="200" w:after="160"/>
      </w:pPr>
      <w:r>
        <w:rPr>
          <w:rFonts w:ascii="宋体" w:hAnsi="宋体" w:eastAsia="宋体"/>
          <w:b/>
          <w:sz w:val="28"/>
        </w:rPr>
        <w:t>6.3 逻辑单元测试</w:t>
      </w:r>
    </w:p>
    <w:p>
      <w:pPr>
        <w:spacing w:line="360" w:lineRule="auto" w:after="120"/>
        <w:ind w:firstLine="480"/>
      </w:pPr>
      <w:r>
        <w:rPr>
          <w:rFonts w:ascii="宋体" w:hAnsi="宋体" w:eastAsia="宋体"/>
          <w:b w:val="0"/>
          <w:sz w:val="24"/>
        </w:rPr>
        <w:t>除界面测试外，作品把不依赖界面的纯逻辑模块（因子算术、任务推荐、生活建议、通用工具函数）单独抽出，编译后在 Node 环境中执行断言测试。该测试无需真机即可运行，便于在开发过程中快速回归。当前共 40 项断言，全部通过，覆盖内容包括：</w:t>
      </w:r>
    </w:p>
    <w:p>
      <w:pPr>
        <w:pStyle w:val="ListBullet"/>
        <w:spacing w:line="360" w:lineRule="auto" w:after="60"/>
      </w:pPr>
      <w:r>
        <w:rPr>
          <w:rFonts w:ascii="宋体" w:hAnsi="宋体" w:eastAsia="宋体"/>
          <w:b w:val="0"/>
          <w:sz w:val="24"/>
        </w:rPr>
        <w:t>因子库算术自洽性：逐条验证「减排量 ＝ 基准 − 实际」，并校验全部因子数值为正、出处与基准情景非空、四个类目均有覆盖。</w:t>
      </w:r>
    </w:p>
    <w:p>
      <w:pPr>
        <w:pStyle w:val="ListBullet"/>
        <w:spacing w:line="360" w:lineRule="auto" w:after="60"/>
      </w:pPr>
      <w:r>
        <w:rPr>
          <w:rFonts w:ascii="宋体" w:hAnsi="宋体" w:eastAsia="宋体"/>
          <w:b w:val="0"/>
          <w:sz w:val="24"/>
        </w:rPr>
        <w:t>任务推荐引擎：新用户任务数、已完成标记、配额补齐、短板优先排序。</w:t>
      </w:r>
    </w:p>
    <w:p>
      <w:pPr>
        <w:pStyle w:val="ListBullet"/>
        <w:spacing w:line="360" w:lineRule="auto" w:after="60"/>
      </w:pPr>
      <w:r>
        <w:rPr>
          <w:rFonts w:ascii="宋体" w:hAnsi="宋体" w:eastAsia="宋体"/>
          <w:b w:val="0"/>
          <w:sz w:val="24"/>
        </w:rPr>
        <w:t>生活建议引擎：空数据引导、周对比趋势判断、未记录类目提醒。</w:t>
      </w:r>
    </w:p>
    <w:p>
      <w:pPr>
        <w:pStyle w:val="ListBullet"/>
        <w:spacing w:line="360" w:lineRule="auto" w:after="60"/>
      </w:pPr>
      <w:r>
        <w:rPr>
          <w:rFonts w:ascii="宋体" w:hAnsi="宋体" w:eastAsia="宋体"/>
          <w:b w:val="0"/>
          <w:sz w:val="24"/>
        </w:rPr>
        <w:t>通用工具函数：数值保留两位小数的边界行为、日期格式化、唯一标识生成。</w:t>
      </w:r>
    </w:p>
    <w:p>
      <w:pPr>
        <w:spacing w:line="360" w:lineRule="auto" w:after="120"/>
        <w:ind w:firstLine="480"/>
      </w:pPr>
      <w:r>
        <w:rPr>
          <w:rFonts w:ascii="宋体" w:hAnsi="宋体" w:eastAsia="宋体"/>
          <w:b w:val="0"/>
          <w:sz w:val="24"/>
        </w:rPr>
        <w:t>该测试在开发过程中实际发现了两个缺陷，并已修复：一是唯一标识生成函数在短时间内连续调用会产生重复；二是数据存储组件的读取接口在键不存在时的行为与其自身文档约定不一致，导致「不存在则写入默认值」的逻辑无法生效。</w:t>
      </w:r>
    </w:p>
    <w:p>
      <w:pPr>
        <w:spacing w:line="360" w:lineRule="auto" w:before="200" w:after="160"/>
      </w:pPr>
      <w:r>
        <w:rPr>
          <w:rFonts w:ascii="宋体" w:hAnsi="宋体" w:eastAsia="宋体"/>
          <w:b/>
          <w:sz w:val="28"/>
        </w:rPr>
        <w:t>6.4 已知限制</w:t>
      </w:r>
    </w:p>
    <w:p>
      <w:pPr>
        <w:spacing w:line="360" w:lineRule="auto" w:after="120"/>
        <w:ind w:firstLine="480"/>
      </w:pPr>
      <w:r>
        <w:rPr>
          <w:rFonts w:ascii="宋体" w:hAnsi="宋体" w:eastAsia="宋体"/>
          <w:b w:val="0"/>
          <w:sz w:val="24"/>
        </w:rPr>
        <w:t>为保持说明的完整性，以下限制如实列出：</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2016"/>
          </w:tcPr>
          <w:p>
            <w:pPr>
              <w:spacing w:line="300" w:lineRule="auto" w:after="40"/>
              <w:jc w:val="center"/>
            </w:pPr>
            <w:r/>
            <w:r>
              <w:rPr>
                <w:rFonts w:ascii="宋体" w:hAnsi="宋体" w:eastAsia="宋体"/>
                <w:b/>
                <w:sz w:val="20"/>
              </w:rPr>
              <w:t>项目</w:t>
            </w:r>
          </w:p>
        </w:tc>
        <w:tc>
          <w:tcPr>
            <w:tcW w:type="dxa" w:w="3840"/>
          </w:tcPr>
          <w:p>
            <w:pPr>
              <w:spacing w:line="300" w:lineRule="auto" w:after="40"/>
              <w:jc w:val="center"/>
            </w:pPr>
            <w:r/>
            <w:r>
              <w:rPr>
                <w:rFonts w:ascii="宋体" w:hAnsi="宋体" w:eastAsia="宋体"/>
                <w:b/>
                <w:sz w:val="20"/>
              </w:rPr>
              <w:t>当前状态</w:t>
            </w:r>
          </w:p>
        </w:tc>
        <w:tc>
          <w:tcPr>
            <w:tcW w:type="dxa" w:w="2784"/>
          </w:tcPr>
          <w:p>
            <w:pPr>
              <w:spacing w:line="300" w:lineRule="auto" w:after="40"/>
              <w:jc w:val="center"/>
            </w:pPr>
            <w:r/>
            <w:r>
              <w:rPr>
                <w:rFonts w:ascii="宋体" w:hAnsi="宋体" w:eastAsia="宋体"/>
                <w:b/>
                <w:sz w:val="20"/>
              </w:rPr>
              <w:t>原因</w:t>
            </w:r>
          </w:p>
        </w:tc>
      </w:tr>
      <w:tr>
        <w:trPr>
          <w:cantSplit/>
        </w:trPr>
        <w:tc>
          <w:tcPr>
            <w:tcW w:type="dxa" w:w="2016"/>
          </w:tcPr>
          <w:p>
            <w:pPr>
              <w:spacing w:line="300" w:lineRule="auto" w:after="40"/>
            </w:pPr>
            <w:r/>
            <w:r>
              <w:rPr>
                <w:rFonts w:ascii="宋体" w:hAnsi="宋体" w:eastAsia="宋体"/>
                <w:b w:val="0"/>
                <w:sz w:val="20"/>
              </w:rPr>
              <w:t>创新拓展 1  多设备同步</w:t>
            </w:r>
          </w:p>
        </w:tc>
        <w:tc>
          <w:tcPr>
            <w:tcW w:type="dxa" w:w="3840"/>
          </w:tcPr>
          <w:p>
            <w:pPr>
              <w:spacing w:line="300" w:lineRule="auto" w:after="40"/>
            </w:pPr>
            <w:r/>
            <w:r>
              <w:rPr>
                <w:rFonts w:ascii="宋体" w:hAnsi="宋体" w:eastAsia="宋体"/>
                <w:b w:val="0"/>
                <w:sz w:val="20"/>
              </w:rPr>
              <w:t>界面与业务逻辑已完成，同步面板可正常展示状态；尚未在两台真机之间做端到端验证</w:t>
            </w:r>
          </w:p>
        </w:tc>
        <w:tc>
          <w:tcPr>
            <w:tcW w:type="dxa" w:w="2784"/>
          </w:tcPr>
          <w:p>
            <w:pPr>
              <w:spacing w:line="300" w:lineRule="auto" w:after="40"/>
            </w:pPr>
            <w:r/>
            <w:r>
              <w:rPr>
                <w:rFonts w:ascii="宋体" w:hAnsi="宋体" w:eastAsia="宋体"/>
                <w:b w:val="0"/>
                <w:sz w:val="20"/>
              </w:rPr>
              <w:t>测试所用模拟器不具备分布式软总线能力，且分布式数据同步权限需要真机授权弹窗</w:t>
            </w:r>
          </w:p>
        </w:tc>
      </w:tr>
      <w:tr>
        <w:trPr>
          <w:cantSplit/>
        </w:trPr>
        <w:tc>
          <w:tcPr>
            <w:tcW w:type="dxa" w:w="2016"/>
          </w:tcPr>
          <w:p>
            <w:pPr>
              <w:spacing w:line="300" w:lineRule="auto" w:after="40"/>
            </w:pPr>
            <w:r/>
            <w:r>
              <w:rPr>
                <w:rFonts w:ascii="宋体" w:hAnsi="宋体" w:eastAsia="宋体"/>
                <w:b w:val="0"/>
                <w:sz w:val="20"/>
              </w:rPr>
              <w:t>创新拓展 2  端侧 AI 的类目标定</w:t>
            </w:r>
          </w:p>
        </w:tc>
        <w:tc>
          <w:tcPr>
            <w:tcW w:type="dxa" w:w="3840"/>
          </w:tcPr>
          <w:p>
            <w:pPr>
              <w:spacing w:line="300" w:lineRule="auto" w:after="40"/>
            </w:pPr>
            <w:r/>
            <w:r>
              <w:rPr>
                <w:rFonts w:ascii="宋体" w:hAnsi="宋体" w:eastAsia="宋体"/>
                <w:b w:val="0"/>
                <w:sz w:val="20"/>
              </w:rPr>
              <w:t>视觉推理链路已实测可用；但「输出索引到业务类目」的标定表仍为空，因此视觉通路目前不产出建议；文字识别通路亦未在设备上验证</w:t>
            </w:r>
          </w:p>
        </w:tc>
        <w:tc>
          <w:tcPr>
            <w:tcW w:type="dxa" w:w="2784"/>
          </w:tcPr>
          <w:p>
            <w:pPr>
              <w:spacing w:line="300" w:lineRule="auto" w:after="40"/>
            </w:pPr>
            <w:r/>
            <w:r>
              <w:rPr>
                <w:rFonts w:ascii="宋体" w:hAnsi="宋体" w:eastAsia="宋体"/>
                <w:b w:val="0"/>
                <w:sz w:val="20"/>
              </w:rPr>
              <w:t>标定必须用团队自己拍摄的真实照片，且文字识别能力不支持模拟器运行</w:t>
            </w:r>
          </w:p>
        </w:tc>
      </w:tr>
      <w:tr>
        <w:trPr>
          <w:cantSplit/>
        </w:trPr>
        <w:tc>
          <w:tcPr>
            <w:tcW w:type="dxa" w:w="2016"/>
          </w:tcPr>
          <w:p>
            <w:pPr>
              <w:spacing w:line="300" w:lineRule="auto" w:after="40"/>
            </w:pPr>
            <w:r/>
            <w:r>
              <w:rPr>
                <w:rFonts w:ascii="宋体" w:hAnsi="宋体" w:eastAsia="宋体"/>
                <w:b w:val="0"/>
                <w:sz w:val="20"/>
              </w:rPr>
              <w:t>因子库部分条目</w:t>
            </w:r>
          </w:p>
        </w:tc>
        <w:tc>
          <w:tcPr>
            <w:tcW w:type="dxa" w:w="3840"/>
          </w:tcPr>
          <w:p>
            <w:pPr>
              <w:spacing w:line="300" w:lineRule="auto" w:after="40"/>
            </w:pPr>
            <w:r/>
            <w:r>
              <w:rPr>
                <w:rFonts w:ascii="宋体" w:hAnsi="宋体" w:eastAsia="宋体"/>
                <w:b w:val="0"/>
                <w:sz w:val="20"/>
              </w:rPr>
              <w:t>回收类、节水类与光盘行动类采用英国 DEFRA 口径</w:t>
            </w:r>
          </w:p>
        </w:tc>
        <w:tc>
          <w:tcPr>
            <w:tcW w:type="dxa" w:w="2784"/>
          </w:tcPr>
          <w:p>
            <w:pPr>
              <w:spacing w:line="300" w:lineRule="auto" w:after="40"/>
            </w:pPr>
            <w:r/>
            <w:r>
              <w:rPr>
                <w:rFonts w:ascii="宋体" w:hAnsi="宋体" w:eastAsia="宋体"/>
                <w:b w:val="0"/>
                <w:sz w:val="20"/>
              </w:rPr>
              <w:t>中国官方尚未发布对应因子，已在应用内明确标注</w:t>
            </w:r>
          </w:p>
        </w:tc>
      </w:tr>
    </w:tbl>
    <w:p>
      <w:pPr>
        <w:spacing w:after="40"/>
      </w:pPr>
    </w:p>
    <w:p>
      <w:pPr>
        <w:spacing w:line="312" w:lineRule="auto" w:after="200"/>
        <w:jc w:val="center"/>
      </w:pPr>
      <w:r>
        <w:rPr>
          <w:rFonts w:ascii="宋体" w:hAnsi="宋体" w:eastAsia="宋体"/>
          <w:b w:val="0"/>
          <w:color w:val="606060"/>
          <w:sz w:val="21"/>
        </w:rPr>
        <w:t>表 10  已知限制</w:t>
      </w:r>
    </w:p>
    <w:p>
      <w:r>
        <w:br w:type="page"/>
      </w:r>
    </w:p>
    <w:p>
      <w:pPr>
        <w:spacing w:line="360" w:lineRule="auto" w:before="280" w:after="160"/>
      </w:pPr>
      <w:r>
        <w:rPr>
          <w:rFonts w:ascii="黑体" w:hAnsi="黑体" w:eastAsia="黑体"/>
          <w:b/>
          <w:color w:val="1F9A4E"/>
          <w:sz w:val="32"/>
        </w:rPr>
        <w:t>七、创新点总结</w:t>
      </w:r>
    </w:p>
    <w:p>
      <w:pPr>
        <w:spacing w:line="360" w:lineRule="auto" w:after="120"/>
        <w:ind w:firstLine="480"/>
      </w:pPr>
      <w:r>
        <w:rPr>
          <w:rFonts w:ascii="宋体" w:hAnsi="宋体" w:eastAsia="宋体"/>
          <w:b w:val="0"/>
          <w:sz w:val="24"/>
        </w:rPr>
        <w:t>本作品的创新性不在于引入某项前沿技术，而在于针对「碳足迹记录」这一具体场景做了若干务实且有依据的工程决策。四条创新拓展已在前文分别说明，此处归纳要点：</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1920"/>
          </w:tcPr>
          <w:p>
            <w:pPr>
              <w:spacing w:line="300" w:lineRule="auto" w:after="40"/>
              <w:jc w:val="center"/>
            </w:pPr>
            <w:r/>
            <w:r>
              <w:rPr>
                <w:rFonts w:ascii="宋体" w:hAnsi="宋体" w:eastAsia="宋体"/>
                <w:b/>
                <w:sz w:val="20"/>
              </w:rPr>
              <w:t>创新点</w:t>
            </w:r>
          </w:p>
        </w:tc>
        <w:tc>
          <w:tcPr>
            <w:tcW w:type="dxa" w:w="3840"/>
          </w:tcPr>
          <w:p>
            <w:pPr>
              <w:spacing w:line="300" w:lineRule="auto" w:after="40"/>
              <w:jc w:val="center"/>
            </w:pPr>
            <w:r/>
            <w:r>
              <w:rPr>
                <w:rFonts w:ascii="宋体" w:hAnsi="宋体" w:eastAsia="宋体"/>
                <w:b/>
                <w:sz w:val="20"/>
              </w:rPr>
              <w:t>核心做法</w:t>
            </w:r>
          </w:p>
        </w:tc>
        <w:tc>
          <w:tcPr>
            <w:tcW w:type="dxa" w:w="2880"/>
          </w:tcPr>
          <w:p>
            <w:pPr>
              <w:spacing w:line="300" w:lineRule="auto" w:after="40"/>
              <w:jc w:val="center"/>
            </w:pPr>
            <w:r/>
            <w:r>
              <w:rPr>
                <w:rFonts w:ascii="宋体" w:hAnsi="宋体" w:eastAsia="宋体"/>
                <w:b/>
                <w:sz w:val="20"/>
              </w:rPr>
              <w:t>解决的问题</w:t>
            </w:r>
          </w:p>
        </w:tc>
      </w:tr>
      <w:tr>
        <w:trPr>
          <w:cantSplit/>
        </w:trPr>
        <w:tc>
          <w:tcPr>
            <w:tcW w:type="dxa" w:w="1920"/>
          </w:tcPr>
          <w:p>
            <w:pPr>
              <w:spacing w:line="300" w:lineRule="auto" w:after="40"/>
            </w:pPr>
            <w:r/>
            <w:r>
              <w:rPr>
                <w:rFonts w:ascii="宋体" w:hAnsi="宋体" w:eastAsia="宋体"/>
                <w:b w:val="0"/>
                <w:sz w:val="20"/>
              </w:rPr>
              <w:t>超级终端多设备同步</w:t>
            </w:r>
          </w:p>
        </w:tc>
        <w:tc>
          <w:tcPr>
            <w:tcW w:type="dxa" w:w="3840"/>
          </w:tcPr>
          <w:p>
            <w:pPr>
              <w:spacing w:line="300" w:lineRule="auto" w:after="40"/>
            </w:pPr>
            <w:r/>
            <w:r>
              <w:rPr>
                <w:rFonts w:ascii="宋体" w:hAnsi="宋体" w:eastAsia="宋体"/>
                <w:b w:val="0"/>
                <w:sz w:val="20"/>
              </w:rPr>
              <w:t>基于分布式数据服务的多设备同步，以时间戳信封处理冲突，并提供同步状态可视化面板</w:t>
            </w:r>
          </w:p>
        </w:tc>
        <w:tc>
          <w:tcPr>
            <w:tcW w:type="dxa" w:w="2880"/>
          </w:tcPr>
          <w:p>
            <w:pPr>
              <w:spacing w:line="300" w:lineRule="auto" w:after="40"/>
            </w:pPr>
            <w:r/>
            <w:r>
              <w:rPr>
                <w:rFonts w:ascii="宋体" w:hAnsi="宋体" w:eastAsia="宋体"/>
                <w:b w:val="0"/>
                <w:sz w:val="20"/>
              </w:rPr>
              <w:t>换设备后碳数据断裂；家庭成员的减排量无法合并统计</w:t>
            </w:r>
          </w:p>
        </w:tc>
      </w:tr>
      <w:tr>
        <w:trPr>
          <w:cantSplit/>
        </w:trPr>
        <w:tc>
          <w:tcPr>
            <w:tcW w:type="dxa" w:w="1920"/>
          </w:tcPr>
          <w:p>
            <w:pPr>
              <w:spacing w:line="300" w:lineRule="auto" w:after="40"/>
            </w:pPr>
            <w:r/>
            <w:r>
              <w:rPr>
                <w:rFonts w:ascii="宋体" w:hAnsi="宋体" w:eastAsia="宋体"/>
                <w:b w:val="0"/>
                <w:sz w:val="20"/>
              </w:rPr>
              <w:t>端侧 AI 图片识别</w:t>
            </w:r>
          </w:p>
        </w:tc>
        <w:tc>
          <w:tcPr>
            <w:tcW w:type="dxa" w:w="3840"/>
          </w:tcPr>
          <w:p>
            <w:pPr>
              <w:spacing w:line="300" w:lineRule="auto" w:after="40"/>
            </w:pPr>
            <w:r/>
            <w:r>
              <w:rPr>
                <w:rFonts w:ascii="宋体" w:hAnsi="宋体" w:eastAsia="宋体"/>
                <w:b w:val="0"/>
                <w:sz w:val="20"/>
              </w:rPr>
              <w:t>端侧推理 ＋ 端侧文字识别双通路，按置信度融合，高置信才预填</w:t>
            </w:r>
          </w:p>
        </w:tc>
        <w:tc>
          <w:tcPr>
            <w:tcW w:type="dxa" w:w="2880"/>
          </w:tcPr>
          <w:p>
            <w:pPr>
              <w:spacing w:line="300" w:lineRule="auto" w:after="40"/>
            </w:pPr>
            <w:r/>
            <w:r>
              <w:rPr>
                <w:rFonts w:ascii="宋体" w:hAnsi="宋体" w:eastAsia="宋体"/>
                <w:b w:val="0"/>
                <w:sz w:val="20"/>
              </w:rPr>
              <w:t>手动录入成本高；同时避免 AI 误判污染碳账本</w:t>
            </w:r>
          </w:p>
        </w:tc>
      </w:tr>
      <w:tr>
        <w:trPr>
          <w:cantSplit/>
        </w:trPr>
        <w:tc>
          <w:tcPr>
            <w:tcW w:type="dxa" w:w="1920"/>
          </w:tcPr>
          <w:p>
            <w:pPr>
              <w:spacing w:line="300" w:lineRule="auto" w:after="40"/>
            </w:pPr>
            <w:r/>
            <w:r>
              <w:rPr>
                <w:rFonts w:ascii="宋体" w:hAnsi="宋体" w:eastAsia="宋体"/>
                <w:b w:val="0"/>
                <w:sz w:val="20"/>
              </w:rPr>
              <w:t>模拟城市碳普惠接口</w:t>
            </w:r>
          </w:p>
        </w:tc>
        <w:tc>
          <w:tcPr>
            <w:tcW w:type="dxa" w:w="3840"/>
          </w:tcPr>
          <w:p>
            <w:pPr>
              <w:spacing w:line="300" w:lineRule="auto" w:after="40"/>
            </w:pPr>
            <w:r/>
            <w:r>
              <w:rPr>
                <w:rFonts w:ascii="宋体" w:hAnsi="宋体" w:eastAsia="宋体"/>
                <w:b w:val="0"/>
                <w:sz w:val="20"/>
              </w:rPr>
              <w:t>完整实现账户、上报、权益、兑换、订单五个环节，保留真实接口的异步、错误码、库存与幂等语义</w:t>
            </w:r>
          </w:p>
        </w:tc>
        <w:tc>
          <w:tcPr>
            <w:tcW w:type="dxa" w:w="2880"/>
          </w:tcPr>
          <w:p>
            <w:pPr>
              <w:spacing w:line="300" w:lineRule="auto" w:after="40"/>
            </w:pPr>
            <w:r/>
            <w:r>
              <w:rPr>
                <w:rFonts w:ascii="宋体" w:hAnsi="宋体" w:eastAsia="宋体"/>
                <w:b w:val="0"/>
                <w:sz w:val="20"/>
              </w:rPr>
              <w:t>让「碳积分」从只能兑换虚拟徽章，升级为可对接真实权益</w:t>
            </w:r>
          </w:p>
        </w:tc>
      </w:tr>
      <w:tr>
        <w:trPr>
          <w:cantSplit/>
        </w:trPr>
        <w:tc>
          <w:tcPr>
            <w:tcW w:type="dxa" w:w="1920"/>
          </w:tcPr>
          <w:p>
            <w:pPr>
              <w:spacing w:line="300" w:lineRule="auto" w:after="40"/>
            </w:pPr>
            <w:r/>
            <w:r>
              <w:rPr>
                <w:rFonts w:ascii="宋体" w:hAnsi="宋体" w:eastAsia="宋体"/>
                <w:b w:val="0"/>
                <w:sz w:val="20"/>
              </w:rPr>
              <w:t>智能服务与社交分享</w:t>
            </w:r>
          </w:p>
        </w:tc>
        <w:tc>
          <w:tcPr>
            <w:tcW w:type="dxa" w:w="3840"/>
          </w:tcPr>
          <w:p>
            <w:pPr>
              <w:spacing w:line="300" w:lineRule="auto" w:after="40"/>
            </w:pPr>
            <w:r/>
            <w:r>
              <w:rPr>
                <w:rFonts w:ascii="宋体" w:hAnsi="宋体" w:eastAsia="宋体"/>
                <w:b w:val="0"/>
                <w:sz w:val="20"/>
              </w:rPr>
              <w:t>短板优先的任务推荐、数据事实驱动的建议、一键生成分享图</w:t>
            </w:r>
          </w:p>
        </w:tc>
        <w:tc>
          <w:tcPr>
            <w:tcW w:type="dxa" w:w="2880"/>
          </w:tcPr>
          <w:p>
            <w:pPr>
              <w:spacing w:line="300" w:lineRule="auto" w:after="40"/>
            </w:pPr>
            <w:r/>
            <w:r>
              <w:rPr>
                <w:rFonts w:ascii="宋体" w:hAnsi="宋体" w:eastAsia="宋体"/>
                <w:b w:val="0"/>
                <w:sz w:val="20"/>
              </w:rPr>
              <w:t>用户难以坚持记录；减排成果缺乏可传播的呈现形式</w:t>
            </w:r>
          </w:p>
        </w:tc>
      </w:tr>
    </w:tbl>
    <w:p>
      <w:pPr>
        <w:spacing w:after="40"/>
      </w:pPr>
    </w:p>
    <w:p>
      <w:pPr>
        <w:spacing w:line="312" w:lineRule="auto" w:after="200"/>
        <w:jc w:val="center"/>
      </w:pPr>
      <w:r>
        <w:rPr>
          <w:rFonts w:ascii="宋体" w:hAnsi="宋体" w:eastAsia="宋体"/>
          <w:b w:val="0"/>
          <w:color w:val="606060"/>
          <w:sz w:val="21"/>
        </w:rPr>
        <w:t>表 11  四条创新拓展要点</w:t>
      </w:r>
    </w:p>
    <w:p>
      <w:pPr>
        <w:spacing w:line="360" w:lineRule="auto" w:after="120"/>
        <w:ind w:firstLine="480"/>
      </w:pPr>
      <w:r>
        <w:rPr>
          <w:rFonts w:ascii="宋体" w:hAnsi="宋体" w:eastAsia="宋体"/>
          <w:b w:val="0"/>
          <w:sz w:val="24"/>
        </w:rPr>
        <w:t>在鸿蒙特性体现方面，本作品可以明确回答「为什么不用其它平台」这一问题：</w:t>
      </w:r>
    </w:p>
    <w:p>
      <w:pPr>
        <w:pStyle w:val="ListBullet"/>
        <w:spacing w:line="360" w:lineRule="auto" w:after="60"/>
      </w:pPr>
      <w:r>
        <w:rPr>
          <w:rFonts w:ascii="宋体" w:hAnsi="宋体" w:eastAsia="宋体"/>
          <w:b w:val="0"/>
          <w:sz w:val="24"/>
        </w:rPr>
        <w:t>分布式数据同步依赖鸿蒙分布式软总线与分布式数据服务，数据在设备间直接流转而不经过云端，这在移动应用与小程序上无法实现。</w:t>
      </w:r>
    </w:p>
    <w:p>
      <w:pPr>
        <w:pStyle w:val="ListBullet"/>
        <w:spacing w:line="360" w:lineRule="auto" w:after="60"/>
      </w:pPr>
      <w:r>
        <w:rPr>
          <w:rFonts w:ascii="宋体" w:hAnsi="宋体" w:eastAsia="宋体"/>
          <w:b w:val="0"/>
          <w:sz w:val="24"/>
        </w:rPr>
        <w:t>端侧 AI 推理与端侧文字识别均为系统级能力，图片不出设备，契合信创语境下的数据主权要求。</w:t>
      </w:r>
    </w:p>
    <w:p>
      <w:pPr>
        <w:pStyle w:val="ListBullet"/>
        <w:spacing w:line="360" w:lineRule="auto" w:after="60"/>
      </w:pPr>
      <w:r>
        <w:rPr>
          <w:rFonts w:ascii="宋体" w:hAnsi="宋体" w:eastAsia="宋体"/>
          <w:b w:val="0"/>
          <w:sz w:val="24"/>
        </w:rPr>
        <w:t>全量数据本地存储、完全离线可用，演示环节不依赖任何网络条件。</w:t>
      </w:r>
    </w:p>
    <w:p>
      <w:pPr>
        <w:spacing w:line="360" w:lineRule="auto" w:after="120"/>
        <w:ind w:firstLine="480"/>
      </w:pPr>
      <w:r>
        <w:rPr>
          <w:rFonts w:ascii="宋体" w:hAnsi="宋体" w:eastAsia="宋体"/>
          <w:b w:val="0"/>
          <w:sz w:val="24"/>
        </w:rPr>
        <w:t>除功能层面的创新外，作品在</w:t>
      </w:r>
      <w:r>
        <w:rPr>
          <w:rFonts w:ascii="宋体" w:hAnsi="宋体" w:eastAsia="宋体"/>
          <w:b/>
          <w:sz w:val="24"/>
        </w:rPr>
        <w:t>界面工程</w:t>
      </w:r>
      <w:r>
        <w:rPr>
          <w:rFonts w:ascii="宋体" w:hAnsi="宋体" w:eastAsia="宋体"/>
          <w:b w:val="0"/>
          <w:sz w:val="24"/>
        </w:rPr>
        <w:t>上也做了一次可量化的改造：把《HarmonyOS 设计规范》的官方 Token 从「定义了但没执行」变成「逐页可核对」，裸写颜色从 104 处降到 12 处、动效从 0 处增加到 9 处、并新增减排日历热力图与年度报告页（详见 3.11–3.13）。这部分工作的价值在于：它同时提升了作品的完成度与答辩时的可解释性——每一个圆角、每一级文字灰度都能指到规范原文。</w:t>
      </w:r>
    </w:p>
    <w:p>
      <w:pPr>
        <w:spacing w:line="360" w:lineRule="auto" w:before="280" w:after="160"/>
      </w:pPr>
      <w:r>
        <w:rPr>
          <w:rFonts w:ascii="黑体" w:hAnsi="黑体" w:eastAsia="黑体"/>
          <w:b/>
          <w:color w:val="1F9A4E"/>
          <w:sz w:val="32"/>
        </w:rPr>
        <w:t>八、局限与后续改进</w:t>
      </w:r>
    </w:p>
    <w:p>
      <w:pPr>
        <w:spacing w:line="360" w:lineRule="auto" w:after="120"/>
        <w:ind w:firstLine="480"/>
      </w:pPr>
      <w:r>
        <w:rPr>
          <w:rFonts w:ascii="宋体" w:hAnsi="宋体" w:eastAsia="宋体"/>
          <w:b w:val="0"/>
          <w:sz w:val="24"/>
        </w:rPr>
        <w:t>本作品当前的主要局限集中在验证覆盖度上：多设备同步与端侧图片识别两条通路受测试设备限制尚未完成端到端验证，其代码与业务逻辑已完成，待具备真机条件后即可验证。</w:t>
      </w:r>
    </w:p>
    <w:p>
      <w:pPr>
        <w:spacing w:line="360" w:lineRule="auto" w:after="120"/>
        <w:ind w:firstLine="480"/>
      </w:pPr>
      <w:r>
        <w:rPr>
          <w:rFonts w:ascii="宋体" w:hAnsi="宋体" w:eastAsia="宋体"/>
          <w:b w:val="0"/>
          <w:sz w:val="24"/>
        </w:rPr>
        <w:t>后续改进方向有三个：一是补充真机验证，特别是端侧图片识别通路中「模型输出索引到业务类目」的标定工作，需要用真实拍摄的照片逐类标定；二是扩展碳排放因子库，特别是待中国官方发布回收类与节水类因子后及时替换；三是在数据积累到一定规模后，引入按周与按月的减排目标设定与达成提醒，进一步强化习惯养成效果。</w:t>
      </w:r>
    </w:p>
    <w:p>
      <w:pPr>
        <w:spacing w:line="360" w:lineRule="auto" w:after="120"/>
        <w:ind w:firstLine="480"/>
      </w:pPr>
      <w:r>
        <w:rPr>
          <w:rFonts w:ascii="宋体" w:hAnsi="宋体" w:eastAsia="宋体"/>
          <w:b w:val="0"/>
          <w:sz w:val="24"/>
        </w:rPr>
        <w:t>作品的设计原则可以概括为一句话：把每一个数字都算清楚，把每一个来源都标明白，把每一点能力边界都如实说明。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jpeg"/><Relationship Id="rId26"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碳迹 —— 设计说明书</dc:title>
  <dc:subject>赛题二 碳足迹·全民绿色生活碳积分与减排指南</dc:subject>
  <dc:creator/>
  <cp:keywords/>
  <dc:description/>
  <cp:lastModifiedBy/>
  <cp:revision>1</cp:revision>
  <dcterms:created xsi:type="dcterms:W3CDTF">2013-12-23T23:15:00Z</dcterms:created>
  <dcterms:modified xsi:type="dcterms:W3CDTF">2013-12-23T23:15:00Z</dcterms:modified>
  <cp:category/>
</cp:coreProperties>
</file>