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四、产品/服务介绍与创新点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产品与服务体系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“美育观止”是一个专注K12美术教育的数字化内容供给与全场景服务品牌。项目依托华东师范大学美术学院深厚的专业教研积淀，通过全面转向微信小程序端，构建了一套“数字化资源+智能体评价”的双模系统 。平台以“教学评一体化”为核心，彻底打通校内课堂、校外机构与家庭美育的割裂场景 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我们的核心服务模块包括：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美育数字资源供给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：严格对标2022版义务教育新课标，提供高质量、标准化的美育教学资源，填补市场空白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AI多模态智能评价系统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：替代传统主观且耗时的人工评价，通过视觉大模型对学生上传的画作进行毫秒级自动分析与客观定级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美育成长画像与数据可视化看板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：生成专属于每个学生的“历史看板”，通过动态图表呈现审美素养的纵向成长轨迹，为教师和家长提供直观的教学辅助与投资回报展示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关键技术与支撑工具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项目融合了多学科技术背景，通过以下四大维度的技术与工具集群保障业务落地：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技术支撑：大模型交互与前端跨端架构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前端工程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：采用基于Vue3的Uni-app跨端框架结合Vite底层编译器，实现“单代码库、单平台定向编译”，并引入Tuniao UI、FirstUI等企业级组件库，大幅提升小程序性能与界面大厂级质感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数据可视化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：摒弃臃肿的原生ECharts，定制引入如 my-echarts、EasyEcharts 等轻量级跨端图表组件，结合 Canvas 2D 深度调优，确保海量数据节点在移动端的丝滑渲染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大模型矩阵调优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：采用“模型矩阵组合调优”策略平衡性能与成本 。调用顶级多模态模型（如 Qwen-VL-Max）处理高难度的图像细节理解与五维精准打分；使用高性价比开源纯文本模型（如 Qwen2.5-72B-Instruct）处理后台结构化数据的逻辑推理与评价合成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智能评价算法：轻量级结构化RAG技术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抛弃沉重的非结构化向量数据库，依托 UniCloud 云端原生的 JSON 文档数据库构建轻量化结构 RAG（Structured RAG）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通过按时间戳倒序检索学生的历史五维量化分数序列，动态拼装超级提示词（Prompt），赋能大语言模型生成具有长周期记忆维度的个性化评价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设计工具：跨媒介视觉与内容生产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运用 PS、AI 等平面设计软件及 C4D 三维建模软件构建具有科技感的美育看板视觉体系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结合秀米、可画及 AI 生成工具，高效产出符合微信生态设计规范的高对比度、防误触界面的交互视觉资产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平台载体：小程序为主阵地的服务矩阵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以强账号绑定属性的“微信小程序”为核心产品交付阵地，彻底免去跨端适配难题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辅以微信公众号与小红书等自媒体矩阵进行全渠道运营，将精美生成的个性化长卷转化为“社交货币”，实现极低成本的公私域流量裂变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项目核心创新点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评价标准创新：主观审美的“五维数字化解构”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针对美术评价标准模糊的痛点，团队首创《美术作品量化评价标准》，将抽象的“美”精准拆解为构图、色彩、造型、创意、完整性五个可被算法观测与统计的客观维度 。这一结构化字典不仅规范了 AI 视觉大模型的输出边界（遏制“幻觉”），更为前端绘制标准化雷达图提供了严密的数据源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技术架构创新：轻量级RAG攻克“上下文黑洞”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在教育 AI 领域，单纯的图像打分容易陷入缺乏长期记忆的“上下文黑洞” 。本项目摒弃重型语义检索配置，首创在 K12 美育领域应用“轻量化结构 RAG” 。利用沉淀在云端的高质量结构化 JSON 数据实现跨周期比对推理，让 AI 真正具备“记忆”，输出具有时间纵深感的情感关怀与专业辅导建议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产品逻辑创新：“双轨并行制”交互反馈闭环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深度融合现代软件 UX 设计，系统构建了双轨反馈机制：一是“实时微反馈轨”，即每次上传作品后 3-5 秒内通过视觉模型提供即时满足的客观五维短评；二是“阶段性成长长卷轨”，作为周报或月报载体，触发深度 RAG 引擎进行长线整合分析，最大化释放教育的深度价值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教育理念创新：从“总结性打分”走向“增值性辅导”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基于维果茨基的“最近发展区”（ZPD）理论，AI 不再仅仅充当冷酷的“打分机器”给出终结判定，而是扮演“持续性形成性反馈生成器”和私人导师的角色 。通过严密的 Prompt 提示词工程，确保反馈基调温和、循循善诱，精准捕捉学生的微小进步并指导下一步进阶方向，实现了教育数字化从“工具属性”向“人文温度”的升维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