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8157DD">
      <w:pPr>
        <w:jc w:val="center"/>
      </w:pPr>
      <w:r>
        <w:rPr>
          <w:rFonts w:ascii="宋体" w:hAnsi="宋体" w:eastAsia="宋体"/>
          <w:b/>
          <w:sz w:val="44"/>
        </w:rPr>
        <w:t>第八届CCF开源创新大赛</w:t>
      </w:r>
    </w:p>
    <w:p w14:paraId="5802B77A">
      <w:pPr>
        <w:jc w:val="center"/>
      </w:pPr>
      <w:r>
        <w:rPr>
          <w:rFonts w:ascii="宋体" w:hAnsi="宋体" w:eastAsia="宋体"/>
          <w:b/>
          <w:sz w:val="32"/>
        </w:rPr>
        <w:t xml:space="preserve">国产开源GPU AI创新生态赛 </w:t>
      </w:r>
    </w:p>
    <w:p w14:paraId="26809F59"/>
    <w:p w14:paraId="3944EA4E">
      <w:pPr>
        <w:jc w:val="center"/>
      </w:pPr>
      <w:r>
        <w:rPr>
          <w:rFonts w:ascii="宋体" w:hAnsi="宋体" w:eastAsia="宋体"/>
          <w:b/>
          <w:sz w:val="48"/>
        </w:rPr>
        <w:t>技术报告</w:t>
      </w:r>
    </w:p>
    <w:p w14:paraId="5F779B57"/>
    <w:p w14:paraId="26B1D3DC">
      <w:pPr>
        <w:jc w:val="center"/>
      </w:pPr>
      <w:r>
        <w:rPr>
          <w:rFonts w:ascii="宋体" w:hAnsi="宋体" w:eastAsia="宋体"/>
          <w:b/>
          <w:sz w:val="40"/>
        </w:rPr>
        <w:t>心镜·AIGC智能体平台</w:t>
      </w:r>
    </w:p>
    <w:p w14:paraId="3EDD3433">
      <w:pPr>
        <w:jc w:val="center"/>
      </w:pPr>
      <w:r>
        <w:rPr>
          <w:rFonts w:ascii="宋体" w:hAnsi="宋体" w:eastAsia="宋体"/>
          <w:b w:val="0"/>
          <w:sz w:val="28"/>
        </w:rPr>
        <w:t>MindMirror AIGC Agent Platform</w:t>
      </w:r>
    </w:p>
    <w:p w14:paraId="0BB3FED8">
      <w:pPr>
        <w:jc w:val="center"/>
        <w:rPr>
          <w:rFonts w:ascii="宋体" w:hAnsi="宋体" w:eastAsia="宋体"/>
          <w:b w:val="0"/>
          <w:sz w:val="24"/>
        </w:rPr>
      </w:pPr>
    </w:p>
    <w:p w14:paraId="32F87E2D">
      <w:pPr>
        <w:ind w:firstLine="1960" w:firstLineChars="700"/>
        <w:jc w:val="left"/>
        <w:rPr>
          <w:sz w:val="28"/>
          <w:szCs w:val="24"/>
        </w:rPr>
      </w:pPr>
      <w:r>
        <w:rPr>
          <w:rFonts w:ascii="宋体" w:hAnsi="宋体" w:eastAsia="宋体"/>
          <w:b w:val="0"/>
          <w:sz w:val="28"/>
          <w:szCs w:val="24"/>
        </w:rPr>
        <w:t>队长：王建豪 | 队员：吴锴嘉、何柏翰</w:t>
      </w:r>
    </w:p>
    <w:p w14:paraId="479298EE">
      <w:pPr>
        <w:ind w:firstLine="1960" w:firstLineChars="700"/>
        <w:jc w:val="left"/>
        <w:rPr>
          <w:rFonts w:ascii="宋体" w:hAnsi="宋体" w:eastAsia="宋体"/>
          <w:b w:val="0"/>
          <w:sz w:val="28"/>
          <w:szCs w:val="24"/>
        </w:rPr>
      </w:pPr>
      <w:r>
        <w:rPr>
          <w:rFonts w:ascii="宋体" w:hAnsi="宋体" w:eastAsia="宋体"/>
          <w:b w:val="0"/>
          <w:sz w:val="28"/>
          <w:szCs w:val="24"/>
        </w:rPr>
        <w:t>指导老师：刘寿强 | 华南师范大学</w:t>
      </w:r>
    </w:p>
    <w:p w14:paraId="48887C9C">
      <w:pPr>
        <w:ind w:firstLine="1960" w:firstLineChars="700"/>
        <w:jc w:val="left"/>
        <w:rPr>
          <w:rFonts w:hint="default" w:ascii="宋体" w:hAnsi="宋体" w:eastAsia="宋体"/>
          <w:b w:val="0"/>
          <w:sz w:val="28"/>
          <w:szCs w:val="24"/>
          <w:lang w:val="en-US" w:eastAsia="zh-CN"/>
        </w:rPr>
      </w:pPr>
      <w:r>
        <w:rPr>
          <w:rFonts w:hint="eastAsia"/>
          <w:b w:val="0"/>
          <w:sz w:val="28"/>
          <w:szCs w:val="24"/>
          <w:lang w:val="en-US" w:eastAsia="zh-CN"/>
        </w:rPr>
        <w:t>联系方式：18928109264</w:t>
      </w:r>
    </w:p>
    <w:p w14:paraId="2DE02705">
      <w:pPr>
        <w:jc w:val="center"/>
        <w:rPr>
          <w:rFonts w:hint="default" w:ascii="宋体" w:hAnsi="宋体" w:eastAsia="宋体"/>
          <w:b w:val="0"/>
          <w:sz w:val="28"/>
          <w:szCs w:val="24"/>
          <w:lang w:val="en-US" w:eastAsia="zh-CN"/>
        </w:rPr>
      </w:pPr>
      <w:r>
        <w:rPr>
          <w:rFonts w:hint="eastAsia"/>
          <w:b w:val="0"/>
          <w:sz w:val="28"/>
          <w:szCs w:val="24"/>
          <w:lang w:val="en-US" w:eastAsia="zh-CN"/>
        </w:rPr>
        <w:t xml:space="preserve">    作品地址：</w:t>
      </w:r>
      <w:r>
        <w:rPr>
          <w:rFonts w:hint="eastAsia"/>
          <w:b w:val="0"/>
          <w:color w:val="auto"/>
          <w:sz w:val="28"/>
          <w:szCs w:val="24"/>
          <w:u w:val="none"/>
          <w:lang w:val="en-US" w:eastAsia="zh-CN"/>
        </w:rPr>
        <w:t>https://www.gitlink.org.cn/w55224545/Xinjing</w:t>
      </w:r>
      <w:r>
        <w:rPr>
          <w:rFonts w:hint="eastAsia"/>
          <w:b w:val="0"/>
          <w:sz w:val="28"/>
          <w:szCs w:val="24"/>
          <w:lang w:val="en-US" w:eastAsia="zh-CN"/>
        </w:rPr>
        <w:t>-AIGC-Agent-Platform</w:t>
      </w:r>
    </w:p>
    <w:p w14:paraId="1C4A9B7A">
      <w:pPr>
        <w:jc w:val="center"/>
        <w:rPr>
          <w:rFonts w:ascii="宋体" w:hAnsi="宋体" w:eastAsia="宋体"/>
          <w:b w:val="0"/>
          <w:sz w:val="24"/>
        </w:rPr>
      </w:pPr>
    </w:p>
    <w:p w14:paraId="643288F3">
      <w:pPr>
        <w:jc w:val="center"/>
        <w:rPr>
          <w:rFonts w:ascii="宋体" w:hAnsi="宋体" w:eastAsia="宋体"/>
          <w:b w:val="0"/>
          <w:sz w:val="24"/>
        </w:rPr>
      </w:pPr>
    </w:p>
    <w:p w14:paraId="6C8795CF">
      <w:pPr>
        <w:jc w:val="center"/>
        <w:rPr>
          <w:rFonts w:ascii="宋体" w:hAnsi="宋体" w:eastAsia="宋体"/>
          <w:b w:val="0"/>
          <w:sz w:val="24"/>
        </w:rPr>
      </w:pPr>
    </w:p>
    <w:p w14:paraId="342EA4BE">
      <w:pPr>
        <w:jc w:val="center"/>
        <w:rPr>
          <w:rFonts w:ascii="宋体" w:hAnsi="宋体" w:eastAsia="宋体"/>
          <w:b w:val="0"/>
          <w:sz w:val="24"/>
        </w:rPr>
      </w:pPr>
    </w:p>
    <w:p w14:paraId="1F2D4661">
      <w:pPr>
        <w:jc w:val="center"/>
        <w:rPr>
          <w:rFonts w:ascii="宋体" w:hAnsi="宋体" w:eastAsia="宋体"/>
          <w:b w:val="0"/>
          <w:sz w:val="24"/>
        </w:rPr>
      </w:pPr>
    </w:p>
    <w:p w14:paraId="664C4037">
      <w:pPr>
        <w:jc w:val="center"/>
        <w:rPr>
          <w:rFonts w:ascii="宋体" w:hAnsi="宋体" w:eastAsia="宋体"/>
          <w:b w:val="0"/>
          <w:sz w:val="24"/>
        </w:rPr>
      </w:pPr>
    </w:p>
    <w:p w14:paraId="08720500">
      <w:pPr>
        <w:jc w:val="center"/>
        <w:rPr>
          <w:rFonts w:ascii="宋体" w:hAnsi="宋体" w:eastAsia="宋体"/>
          <w:b w:val="0"/>
          <w:sz w:val="24"/>
        </w:rPr>
      </w:pPr>
    </w:p>
    <w:p w14:paraId="01F5CBED">
      <w:pPr>
        <w:jc w:val="center"/>
        <w:rPr>
          <w:rFonts w:ascii="宋体" w:hAnsi="宋体" w:eastAsia="宋体"/>
          <w:b w:val="0"/>
          <w:sz w:val="24"/>
        </w:rPr>
      </w:pPr>
    </w:p>
    <w:p w14:paraId="4CB03D7D">
      <w:pPr>
        <w:jc w:val="center"/>
        <w:rPr>
          <w:rFonts w:ascii="宋体" w:hAnsi="宋体" w:eastAsia="宋体"/>
          <w:b w:val="0"/>
          <w:sz w:val="24"/>
        </w:rPr>
      </w:pPr>
    </w:p>
    <w:p w14:paraId="3A144F48">
      <w:pPr>
        <w:jc w:val="both"/>
        <w:rPr>
          <w:rFonts w:hint="default" w:ascii="宋体" w:hAnsi="宋体" w:eastAsia="宋体"/>
          <w:b w:val="0"/>
          <w:sz w:val="24"/>
          <w:lang w:val="en-US" w:eastAsia="zh-CN"/>
        </w:rPr>
      </w:pPr>
    </w:p>
    <w:p w14:paraId="6AB00A82"/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147473360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sz w:val="24"/>
          <w:szCs w:val="22"/>
          <w:lang w:val="en-US" w:eastAsia="en-US" w:bidi="ar-SA"/>
        </w:rPr>
      </w:sdtEndPr>
      <w:sdtContent>
        <w:p w14:paraId="6BE28DF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D96BE15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TOC \o "1-1"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_Toc18153 </w:instrText>
          </w:r>
          <w:r>
            <w:fldChar w:fldCharType="separate"/>
          </w:r>
          <w:r>
            <w:t>摘要</w:t>
          </w:r>
          <w:r>
            <w:tab/>
          </w:r>
          <w:r>
            <w:fldChar w:fldCharType="begin"/>
          </w:r>
          <w:r>
            <w:instrText xml:space="preserve"> PAGEREF _Toc18153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E1755D9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_Toc11524 </w:instrText>
          </w:r>
          <w:r>
            <w:fldChar w:fldCharType="separate"/>
          </w:r>
          <w:r>
            <w:t>一、作品整体设计方案</w:t>
          </w:r>
          <w:r>
            <w:tab/>
          </w:r>
          <w:r>
            <w:fldChar w:fldCharType="begin"/>
          </w:r>
          <w:r>
            <w:instrText xml:space="preserve"> PAGEREF _Toc11524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EF70CC7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_Toc23420 </w:instrText>
          </w:r>
          <w:r>
            <w:fldChar w:fldCharType="separate"/>
          </w:r>
          <w:r>
            <w:t>二、详细实现逻辑</w:t>
          </w:r>
          <w:r>
            <w:tab/>
          </w:r>
          <w:r>
            <w:fldChar w:fldCharType="begin"/>
          </w:r>
          <w:r>
            <w:instrText xml:space="preserve"> PAGEREF _Toc23420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E798D1B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_Toc29931 </w:instrText>
          </w:r>
          <w:r>
            <w:fldChar w:fldCharType="separate"/>
          </w:r>
          <w:r>
            <w:t>三、全量测试结果与性能分析</w:t>
          </w:r>
          <w:r>
            <w:tab/>
          </w:r>
          <w:r>
            <w:fldChar w:fldCharType="begin"/>
          </w:r>
          <w:r>
            <w:instrText xml:space="preserve"> PAGEREF _Toc29931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5177396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_Toc9350 </w:instrText>
          </w:r>
          <w:r>
            <w:fldChar w:fldCharType="separate"/>
          </w:r>
          <w:r>
            <w:t>四、特色创新点</w:t>
          </w:r>
          <w:r>
            <w:tab/>
          </w:r>
          <w:r>
            <w:fldChar w:fldCharType="begin"/>
          </w:r>
          <w:r>
            <w:instrText xml:space="preserve"> PAGEREF _Toc9350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ED9D350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_Toc8876 </w:instrText>
          </w:r>
          <w:r>
            <w:fldChar w:fldCharType="separate"/>
          </w:r>
          <w:r>
            <w:t>五、开源协作过程说明</w:t>
          </w:r>
          <w:r>
            <w:tab/>
          </w:r>
          <w:r>
            <w:fldChar w:fldCharType="begin"/>
          </w:r>
          <w:r>
            <w:instrText xml:space="preserve"> PAGEREF _Toc8876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8D64204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_Toc16198 </w:instrText>
          </w:r>
          <w:r>
            <w:fldChar w:fldCharType="separate"/>
          </w:r>
          <w:r>
            <w:t>六、部署与使用</w:t>
          </w:r>
          <w:r>
            <w:tab/>
          </w:r>
          <w:r>
            <w:fldChar w:fldCharType="begin"/>
          </w:r>
          <w:r>
            <w:instrText xml:space="preserve"> PAGEREF _Toc16198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1E150D41">
          <w:pPr>
            <w:rPr>
              <w:rFonts w:ascii="宋体" w:hAnsi="宋体" w:eastAsia="宋体" w:cstheme="minorBidi"/>
              <w:sz w:val="24"/>
              <w:szCs w:val="22"/>
              <w:lang w:val="en-US" w:eastAsia="en-US" w:bidi="ar-SA"/>
            </w:rPr>
          </w:pPr>
          <w:r>
            <w:fldChar w:fldCharType="end"/>
          </w:r>
        </w:p>
      </w:sdtContent>
    </w:sdt>
    <w:p w14:paraId="72DE6C50">
      <w:pPr>
        <w:rPr>
          <w:rFonts w:ascii="宋体" w:hAnsi="宋体" w:eastAsia="宋体" w:cstheme="minorBidi"/>
          <w:sz w:val="24"/>
          <w:szCs w:val="22"/>
          <w:lang w:val="en-US" w:eastAsia="en-US" w:bidi="ar-SA"/>
        </w:rPr>
      </w:pPr>
    </w:p>
    <w:p w14:paraId="7D070467">
      <w:pPr>
        <w:pStyle w:val="3"/>
      </w:pPr>
      <w:bookmarkStart w:id="0" w:name="_Toc18153"/>
    </w:p>
    <w:p w14:paraId="65ED02AF">
      <w:pPr>
        <w:pStyle w:val="3"/>
      </w:pPr>
    </w:p>
    <w:p w14:paraId="73FB1455">
      <w:pPr>
        <w:pStyle w:val="3"/>
      </w:pPr>
    </w:p>
    <w:p w14:paraId="34699346">
      <w:pPr>
        <w:pStyle w:val="3"/>
      </w:pPr>
    </w:p>
    <w:p w14:paraId="6929CA9F"/>
    <w:p w14:paraId="19BC9F5D"/>
    <w:p w14:paraId="4DCEEC45"/>
    <w:p w14:paraId="12FED050">
      <w:pPr>
        <w:pStyle w:val="3"/>
      </w:pPr>
    </w:p>
    <w:p w14:paraId="689BB20E"/>
    <w:p w14:paraId="42C5EB0E"/>
    <w:p>
      <w:pPr>
        <w:jc w:val="center"/>
      </w:pPr>
      <w:r>
        <w:rPr>
          <w:rFonts w:eastAsia="宋体"/>
          <w:sz w:val="28"/>
          <w:b/>
        </w:rPr>
        <w:t xml:space="preserve">云平台部署地址</w:t>
      </w:r>
    </w:p>
    <w:p>
      <w:pPr>
        <w:jc w:val="center"/>
      </w:pPr>
      <w:r>
        <w:rPr>
          <w:rFonts w:eastAsia="宋体"/>
          <w:sz w:val="24"/>
        </w:rPr>
        <w:t xml:space="preserve">http://43.143.238.8:8000</w:t>
      </w:r>
    </w:p>
    <w:p/>
    <w:p>
      <w:pPr>
        <w:jc w:val="center"/>
      </w:pPr>
      <w:r>
        <w:rPr>
          <w:rFonts w:eastAsia="宋体"/>
          <w:sz w:val="28"/>
          <w:b/>
        </w:rPr>
        <w:t xml:space="preserve">API 接口文档</w:t>
      </w:r>
    </w:p>
    <w:p>
      <w:pPr>
        <w:jc w:val="center"/>
      </w:pPr>
      <w:r>
        <w:rPr>
          <w:rFonts w:eastAsia="宋体"/>
          <w:sz w:val="24"/>
        </w:rPr>
        <w:t xml:space="preserve">http://43.143.238.8:8000/docs</w:t>
      </w:r>
    </w:p>
    <w:p/>
    <w:p w14:paraId="56DF247D">
      <w:pPr>
        <w:pStyle w:val="3"/>
      </w:pPr>
      <w:r>
        <w:t>摘要</w:t>
      </w:r>
      <w:bookmarkEnd w:id="0"/>
    </w:p>
    <w:p w14:paraId="21648F6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"心镜"是一个面向智慧教室场景的AIGC智能体平台。平台以国产沐曦MetaX GPU算力为底座，搭载moark.com平台Lingshu-32B大模型作为核心推理引擎，基于LangChain开源框架构建5智能体LLM驱动协作架构（感知→分析→报告→预警→协调），集成VibraImage前庭振动识别引擎（Viktor Minkin专著公式体系），融合面部微表情与头部微振动双模态数据，实现从实时情绪感知、深度心理分析到AIGC内容自动生成的全流程智能化。</w:t>
      </w:r>
    </w:p>
    <w:p w14:paraId="7F9E547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平台核心特性包括：(0) 曦云C500 GPU本地加速——VibraImage引擎计算密集型模块全部GPU化，全流水线端到端14.06x加速比，PyTorch MUSA后端自动探测；(1) 5个独立ReAct Agent协作，Lingshu-32B驱动推理与AIGC生成，LLM不可用时自动降级模板模式；(2) 双模态情绪识别——面部微表情（权重0.6）+ VibraImage前庭振动（权重0.4），置信度差异&gt;35%触发复核；(3) VibraImage白盒引擎——基于Minkin专著公式，12个物理含义明确的E1-E12情绪参数；(4) AIGC内容生成——自动生成心理评估日报、个性化干预方案、家校沟通函、学生成长叙事四类内容；(5) 三级预警系统——绿/黄/红分级，7渠道通知。</w:t>
      </w:r>
    </w:p>
    <w:p w14:paraId="1ED3F00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平台采用FastAPI + Vue 3全栈架构，37个API端点，支持Docker容器化部署。自动化测试26项全部通过，LLM API平均调用延迟2.35秒，成功率100%。技术栈包括LangChain 0.3.13、LangChain 0.3.13、FastAPI 0.115、Vue 3.5、SQLite、Docker等。项目已在GitHub和GitLink双平台开源（Apache 2.0协议），配套完整的技术文档和部署指南。</w:t>
      </w:r>
    </w:p>
    <w:p w14:paraId="6D0A9636">
      <w:pPr>
        <w:ind w:firstLine="442" w:firstLineChars="200"/>
      </w:pPr>
      <w:r>
        <w:rPr>
          <w:rFonts w:ascii="宋体" w:hAnsi="宋体" w:eastAsia="宋体"/>
          <w:b/>
          <w:sz w:val="22"/>
        </w:rPr>
        <w:t>关键词：AIGC智能体；多Agent协作；VibraImage前庭振动；Lingshu-32B大模型；心理健康监测；沐曦MetaX国产GPU；LangGraph；双模态情绪识别</w:t>
      </w:r>
    </w:p>
    <w:p w14:paraId="5C441DF6">
      <w:r>
        <w:br w:type="page"/>
      </w:r>
    </w:p>
    <w:p w14:paraId="51C63873">
      <w:pPr>
        <w:pStyle w:val="3"/>
      </w:pPr>
      <w:bookmarkStart w:id="1" w:name="_Toc11524"/>
      <w:r>
        <w:t>一、作品整体设计方案</w:t>
      </w:r>
      <w:bookmarkEnd w:id="1"/>
    </w:p>
    <w:p w14:paraId="5F637F8A">
      <w:pPr>
        <w:pStyle w:val="4"/>
      </w:pPr>
      <w:r>
        <w:t>1.1 系统架构</w:t>
      </w:r>
    </w:p>
    <w:p w14:paraId="22FBBA5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心镜平台采用前后端分离的三层架构：前端展示层（Vue 3 + Vite + ECharts）、后端服务层（FastAPI + LangGraph）、AI算力层（moark.com Lingshu-32B + DeepSeek备用）。</w:t>
      </w:r>
    </w:p>
    <w:p w14:paraId="17EC7AD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整体架构如下图所示（ASCII架构图）：</w:t>
      </w:r>
    </w:p>
    <w:p w14:paraId="0CF3AEF0">
      <w:pPr>
        <w:pStyle w:val="4"/>
        <w:jc w:val="center"/>
      </w:pPr>
      <w:r>
        <w:drawing>
          <wp:inline distT="0" distB="0" distL="114300" distR="114300">
            <wp:extent cx="5262880" cy="2956560"/>
            <wp:effectExtent l="0" t="0" r="7620" b="2540"/>
            <wp:docPr id="2" name="图片 2" descr="b0bc30c3f89b934c309fe1e2555bae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b0bc30c3f89b934c309fe1e2555baeb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98CE">
      <w:pPr>
        <w:jc w:val="center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图1 心镜平台三层系统架构图</w:t>
      </w:r>
    </w:p>
    <w:p w14:paraId="6033A641">
      <w:pPr>
        <w:jc w:val="center"/>
        <w:rPr>
          <w:rFonts w:hint="default"/>
          <w:sz w:val="21"/>
          <w:szCs w:val="21"/>
          <w:lang w:val="en-US" w:eastAsia="zh-CN"/>
        </w:rPr>
      </w:pPr>
    </w:p>
    <w:p w14:paraId="41E39231">
      <w:pPr>
        <w:pStyle w:val="4"/>
      </w:pPr>
      <w:r>
        <w:t>1.2 技术选型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41DD3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39F327B">
            <w:pPr>
              <w:spacing w:after="0" w:line="240" w:lineRule="auto"/>
            </w:pPr>
            <w:r>
              <w:rPr>
                <w:b/>
                <w:sz w:val="18"/>
              </w:rPr>
              <w:t>层级</w:t>
            </w:r>
          </w:p>
        </w:tc>
        <w:tc>
          <w:tcPr>
            <w:tcW w:w="2075" w:type="dxa"/>
          </w:tcPr>
          <w:p w14:paraId="2760BA0E">
            <w:pPr>
              <w:spacing w:after="0" w:line="240" w:lineRule="auto"/>
            </w:pPr>
            <w:r>
              <w:rPr>
                <w:b/>
                <w:sz w:val="18"/>
              </w:rPr>
              <w:t>技术</w:t>
            </w:r>
          </w:p>
        </w:tc>
        <w:tc>
          <w:tcPr>
            <w:tcW w:w="2075" w:type="dxa"/>
          </w:tcPr>
          <w:p w14:paraId="7FD833DE">
            <w:pPr>
              <w:spacing w:after="0" w:line="240" w:lineRule="auto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w="2075" w:type="dxa"/>
          </w:tcPr>
          <w:p w14:paraId="6C314964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5B11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3DE64558">
            <w:pPr>
              <w:spacing w:after="0" w:line="240" w:lineRule="auto"/>
            </w:pPr>
            <w:r>
              <w:rPr>
                <w:sz w:val="18"/>
              </w:rPr>
              <w:t>主推理模型</w:t>
            </w:r>
          </w:p>
        </w:tc>
        <w:tc>
          <w:tcPr>
            <w:tcW w:w="2075" w:type="dxa"/>
          </w:tcPr>
          <w:p w14:paraId="75711937">
            <w:pPr>
              <w:spacing w:after="0" w:line="240" w:lineRule="auto"/>
            </w:pPr>
            <w:r>
              <w:rPr>
                <w:sz w:val="18"/>
              </w:rPr>
              <w:t>Lingshu-32B</w:t>
            </w:r>
          </w:p>
        </w:tc>
        <w:tc>
          <w:tcPr>
            <w:tcW w:w="2075" w:type="dxa"/>
          </w:tcPr>
          <w:p w14:paraId="2C8861C4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4DBB763A">
            <w:pPr>
              <w:spacing w:after="0" w:line="240" w:lineRule="auto"/>
            </w:pPr>
            <w:r>
              <w:rPr>
                <w:sz w:val="18"/>
              </w:rPr>
              <w:t>moark.com 沐曦MetaX GPU推理</w:t>
            </w:r>
          </w:p>
        </w:tc>
      </w:tr>
      <w:tr w14:paraId="21106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41E43A8">
            <w:pPr>
              <w:spacing w:after="0" w:line="240" w:lineRule="auto"/>
            </w:pPr>
            <w:r>
              <w:rPr>
                <w:sz w:val="18"/>
              </w:rPr>
              <w:t>备用推理</w:t>
            </w:r>
          </w:p>
        </w:tc>
        <w:tc>
          <w:tcPr>
            <w:tcW w:w="2075" w:type="dxa"/>
          </w:tcPr>
          <w:p w14:paraId="5B213FF5">
            <w:pPr>
              <w:spacing w:after="0" w:line="240" w:lineRule="auto"/>
            </w:pPr>
            <w:r>
              <w:rPr>
                <w:sz w:val="18"/>
              </w:rPr>
              <w:t>DeepSeek</w:t>
            </w:r>
          </w:p>
        </w:tc>
        <w:tc>
          <w:tcPr>
            <w:tcW w:w="2075" w:type="dxa"/>
          </w:tcPr>
          <w:p w14:paraId="4328E4B0">
            <w:pPr>
              <w:spacing w:after="0" w:line="240" w:lineRule="auto"/>
            </w:pPr>
            <w:r>
              <w:rPr>
                <w:sz w:val="18"/>
              </w:rPr>
              <w:t>deepseek-chat</w:t>
            </w:r>
          </w:p>
        </w:tc>
        <w:tc>
          <w:tcPr>
            <w:tcW w:w="2075" w:type="dxa"/>
          </w:tcPr>
          <w:p w14:paraId="1821A341">
            <w:pPr>
              <w:spacing w:after="0" w:line="240" w:lineRule="auto"/>
            </w:pPr>
            <w:r>
              <w:rPr>
                <w:sz w:val="18"/>
              </w:rPr>
              <w:t>自动Fallback</w:t>
            </w:r>
          </w:p>
        </w:tc>
      </w:tr>
      <w:tr w14:paraId="7A702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05C0C83">
            <w:pPr>
              <w:spacing w:after="0" w:line="240" w:lineRule="auto"/>
            </w:pPr>
            <w:r>
              <w:rPr>
                <w:sz w:val="18"/>
              </w:rPr>
              <w:t>后端框架</w:t>
            </w:r>
          </w:p>
        </w:tc>
        <w:tc>
          <w:tcPr>
            <w:tcW w:w="2075" w:type="dxa"/>
          </w:tcPr>
          <w:p w14:paraId="47DF0D23">
            <w:pPr>
              <w:spacing w:after="0" w:line="240" w:lineRule="auto"/>
            </w:pPr>
            <w:r>
              <w:rPr>
                <w:sz w:val="18"/>
              </w:rPr>
              <w:t>FastAPI</w:t>
            </w:r>
          </w:p>
        </w:tc>
        <w:tc>
          <w:tcPr>
            <w:tcW w:w="2075" w:type="dxa"/>
          </w:tcPr>
          <w:p w14:paraId="56A2C0F0">
            <w:pPr>
              <w:spacing w:after="0" w:line="240" w:lineRule="auto"/>
            </w:pPr>
            <w:r>
              <w:rPr>
                <w:sz w:val="18"/>
              </w:rPr>
              <w:t>0.115</w:t>
            </w:r>
          </w:p>
        </w:tc>
        <w:tc>
          <w:tcPr>
            <w:tcW w:w="2075" w:type="dxa"/>
          </w:tcPr>
          <w:p w14:paraId="3A48C448">
            <w:pPr>
              <w:spacing w:after="0" w:line="240" w:lineRule="auto"/>
            </w:pPr>
            <w:r>
              <w:rPr>
                <w:sz w:val="18"/>
              </w:rPr>
              <w:t>异步Web + 自动Swagger</w:t>
            </w:r>
          </w:p>
        </w:tc>
      </w:tr>
      <w:tr w14:paraId="715C7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55636361">
            <w:pPr>
              <w:spacing w:after="0" w:line="240" w:lineRule="auto"/>
            </w:pPr>
            <w:r>
              <w:rPr>
                <w:sz w:val="18"/>
              </w:rPr>
              <w:t>AI编排</w:t>
            </w:r>
          </w:p>
        </w:tc>
        <w:tc>
          <w:tcPr>
            <w:tcW w:w="2075" w:type="dxa"/>
          </w:tcPr>
          <w:p w14:paraId="0678574C">
            <w:pPr>
              <w:spacing w:after="0" w:line="240" w:lineRule="auto"/>
            </w:pPr>
            <w:r>
              <w:rPr>
                <w:sz w:val="18"/>
              </w:rPr>
              <w:t>LangChain</w:t>
            </w:r>
          </w:p>
        </w:tc>
        <w:tc>
          <w:tcPr>
            <w:tcW w:w="2075" w:type="dxa"/>
          </w:tcPr>
          <w:p w14:paraId="1ACCD641">
            <w:pPr>
              <w:spacing w:after="0" w:line="240" w:lineRule="auto"/>
            </w:pPr>
            <w:r>
              <w:rPr>
                <w:sz w:val="18"/>
              </w:rPr>
              <w:t>0.3.13 / 0.2.60</w:t>
            </w:r>
          </w:p>
        </w:tc>
        <w:tc>
          <w:tcPr>
            <w:tcW w:w="2075" w:type="dxa"/>
          </w:tcPr>
          <w:p w14:paraId="16FD27F0">
            <w:pPr>
              <w:spacing w:after="0" w:line="240" w:lineRule="auto"/>
            </w:pPr>
            <w:r>
              <w:rPr>
                <w:sz w:val="18"/>
              </w:rPr>
              <w:t>ReAct + Agent协作框架</w:t>
            </w:r>
          </w:p>
        </w:tc>
      </w:tr>
      <w:tr w14:paraId="339E2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42E95CB5">
            <w:pPr>
              <w:spacing w:after="0" w:line="240" w:lineRule="auto"/>
            </w:pPr>
            <w:r>
              <w:rPr>
                <w:sz w:val="18"/>
              </w:rPr>
              <w:t>前端</w:t>
            </w:r>
          </w:p>
        </w:tc>
        <w:tc>
          <w:tcPr>
            <w:tcW w:w="2075" w:type="dxa"/>
          </w:tcPr>
          <w:p w14:paraId="2D23AF34">
            <w:pPr>
              <w:spacing w:after="0" w:line="240" w:lineRule="auto"/>
            </w:pPr>
            <w:r>
              <w:rPr>
                <w:sz w:val="18"/>
              </w:rPr>
              <w:t>Vue 3 + Vite + ECharts</w:t>
            </w:r>
          </w:p>
        </w:tc>
        <w:tc>
          <w:tcPr>
            <w:tcW w:w="2075" w:type="dxa"/>
          </w:tcPr>
          <w:p w14:paraId="275FD3E0">
            <w:pPr>
              <w:spacing w:after="0" w:line="240" w:lineRule="auto"/>
            </w:pPr>
            <w:r>
              <w:rPr>
                <w:sz w:val="18"/>
              </w:rPr>
              <w:t>3.5 / 6.0 / 5.5</w:t>
            </w:r>
          </w:p>
        </w:tc>
        <w:tc>
          <w:tcPr>
            <w:tcW w:w="2075" w:type="dxa"/>
          </w:tcPr>
          <w:p w14:paraId="7449A7F7">
            <w:pPr>
              <w:spacing w:after="0" w:line="240" w:lineRule="auto"/>
            </w:pPr>
            <w:r>
              <w:rPr>
                <w:sz w:val="18"/>
              </w:rPr>
              <w:t>响应式仪表盘</w:t>
            </w:r>
          </w:p>
        </w:tc>
      </w:tr>
      <w:tr w14:paraId="4F392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8505E78">
            <w:pPr>
              <w:spacing w:after="0" w:line="240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w="2075" w:type="dxa"/>
          </w:tcPr>
          <w:p w14:paraId="04281FE1">
            <w:pPr>
              <w:spacing w:after="0" w:line="240" w:lineRule="auto"/>
            </w:pPr>
            <w:r>
              <w:rPr>
                <w:sz w:val="18"/>
              </w:rPr>
              <w:t>SQLite + SQLAlchemy</w:t>
            </w:r>
          </w:p>
        </w:tc>
        <w:tc>
          <w:tcPr>
            <w:tcW w:w="2075" w:type="dxa"/>
          </w:tcPr>
          <w:p w14:paraId="13CB0B70">
            <w:pPr>
              <w:spacing w:after="0" w:line="240" w:lineRule="auto"/>
            </w:pPr>
            <w:r>
              <w:rPr>
                <w:sz w:val="18"/>
              </w:rPr>
              <w:t>2.0</w:t>
            </w:r>
          </w:p>
        </w:tc>
        <w:tc>
          <w:tcPr>
            <w:tcW w:w="2075" w:type="dxa"/>
          </w:tcPr>
          <w:p w14:paraId="267ED2E3">
            <w:pPr>
              <w:spacing w:after="0" w:line="240" w:lineRule="auto"/>
            </w:pPr>
            <w:r>
              <w:rPr>
                <w:sz w:val="18"/>
              </w:rPr>
              <w:t>轻量级ORM</w:t>
            </w:r>
          </w:p>
        </w:tc>
      </w:tr>
      <w:tr w14:paraId="3BD47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C6256FF">
            <w:pPr>
              <w:spacing w:after="0" w:line="240" w:lineRule="auto"/>
            </w:pPr>
            <w:r>
              <w:rPr>
                <w:sz w:val="18"/>
              </w:rPr>
              <w:t>前庭振动引擎</w:t>
            </w:r>
          </w:p>
        </w:tc>
        <w:tc>
          <w:tcPr>
            <w:tcW w:w="2075" w:type="dxa"/>
          </w:tcPr>
          <w:p w14:paraId="6DE4B48F">
            <w:pPr>
              <w:spacing w:after="0" w:line="240" w:lineRule="auto"/>
            </w:pPr>
            <w:r>
              <w:rPr>
                <w:sz w:val="18"/>
              </w:rPr>
              <w:t>VibraImage + YOLOv8n</w:t>
            </w:r>
          </w:p>
        </w:tc>
        <w:tc>
          <w:tcPr>
            <w:tcW w:w="2075" w:type="dxa"/>
          </w:tcPr>
          <w:p w14:paraId="7C785E89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66FB06C5">
            <w:pPr>
              <w:spacing w:after="0" w:line="240" w:lineRule="auto"/>
            </w:pPr>
            <w:r>
              <w:rPr>
                <w:sz w:val="18"/>
              </w:rPr>
              <w:t>Minkin专著公式体系</w:t>
            </w:r>
          </w:p>
        </w:tc>
      </w:tr>
      <w:tr w14:paraId="4832E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0E01B7C">
            <w:pPr>
              <w:spacing w:after="0" w:line="240" w:lineRule="auto"/>
            </w:pPr>
            <w:r>
              <w:rPr>
                <w:sz w:val="18"/>
              </w:rPr>
              <w:t>容器化</w:t>
            </w:r>
          </w:p>
        </w:tc>
        <w:tc>
          <w:tcPr>
            <w:tcW w:w="2075" w:type="dxa"/>
          </w:tcPr>
          <w:p w14:paraId="06F5F6B6">
            <w:pPr>
              <w:spacing w:after="0" w:line="240" w:lineRule="auto"/>
            </w:pPr>
            <w:r>
              <w:rPr>
                <w:sz w:val="18"/>
              </w:rPr>
              <w:t>Docker + Docker Compose</w:t>
            </w:r>
          </w:p>
        </w:tc>
        <w:tc>
          <w:tcPr>
            <w:tcW w:w="2075" w:type="dxa"/>
          </w:tcPr>
          <w:p w14:paraId="4232750C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1A253A9A">
            <w:pPr>
              <w:spacing w:after="0" w:line="240" w:lineRule="auto"/>
            </w:pPr>
            <w:r>
              <w:rPr>
                <w:sz w:val="18"/>
              </w:rPr>
              <w:t>一键部署</w:t>
            </w:r>
          </w:p>
        </w:tc>
      </w:tr>
      <w:tr w14:paraId="63A30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2E96A2D">
            <w:pPr>
              <w:spacing w:after="0" w:line="240" w:lineRule="auto"/>
            </w:pPr>
            <w:r>
              <w:rPr>
                <w:sz w:val="18"/>
              </w:rPr>
              <w:t>实时通信</w:t>
            </w:r>
          </w:p>
        </w:tc>
        <w:tc>
          <w:tcPr>
            <w:tcW w:w="2075" w:type="dxa"/>
          </w:tcPr>
          <w:p w14:paraId="056E74A9">
            <w:pPr>
              <w:spacing w:after="0" w:line="240" w:lineRule="auto"/>
            </w:pPr>
            <w:r>
              <w:rPr>
                <w:sz w:val="18"/>
              </w:rPr>
              <w:t>SSE</w:t>
            </w:r>
          </w:p>
        </w:tc>
        <w:tc>
          <w:tcPr>
            <w:tcW w:w="2075" w:type="dxa"/>
          </w:tcPr>
          <w:p w14:paraId="7588786F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35CB7F5F">
            <w:pPr>
              <w:spacing w:after="0" w:line="240" w:lineRule="auto"/>
            </w:pPr>
            <w:r>
              <w:rPr>
                <w:sz w:val="18"/>
              </w:rPr>
              <w:t>Server-Sent Events流式推送</w:t>
            </w:r>
          </w:p>
        </w:tc>
      </w:tr>
      <w:tr w14:paraId="5AB03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664F69F">
            <w:pPr>
              <w:spacing w:after="0" w:line="240" w:lineRule="auto"/>
            </w:pPr>
            <w:r>
              <w:rPr>
                <w:sz w:val="18"/>
              </w:rPr>
              <w:t>测试</w:t>
            </w:r>
          </w:p>
        </w:tc>
        <w:tc>
          <w:tcPr>
            <w:tcW w:w="2075" w:type="dxa"/>
          </w:tcPr>
          <w:p w14:paraId="6282811F">
            <w:pPr>
              <w:spacing w:after="0" w:line="240" w:lineRule="auto"/>
            </w:pPr>
            <w:r>
              <w:rPr>
                <w:sz w:val="18"/>
              </w:rPr>
              <w:t>Pytest</w:t>
            </w:r>
          </w:p>
        </w:tc>
        <w:tc>
          <w:tcPr>
            <w:tcW w:w="2075" w:type="dxa"/>
          </w:tcPr>
          <w:p w14:paraId="6386F500">
            <w:pPr>
              <w:spacing w:after="0" w:line="240" w:lineRule="auto"/>
            </w:pPr>
            <w:r>
              <w:rPr>
                <w:sz w:val="18"/>
              </w:rPr>
              <w:t>8.3</w:t>
            </w:r>
          </w:p>
        </w:tc>
        <w:tc>
          <w:tcPr>
            <w:tcW w:w="2075" w:type="dxa"/>
          </w:tcPr>
          <w:p w14:paraId="2949187B">
            <w:pPr>
              <w:spacing w:after="0" w:line="240" w:lineRule="auto"/>
            </w:pPr>
            <w:r>
              <w:rPr>
                <w:sz w:val="18"/>
              </w:rPr>
              <w:t>26项自动化测试</w:t>
            </w:r>
          </w:p>
        </w:tc>
      </w:tr>
    </w:tbl>
    <w:p w14:paraId="5959E9CA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表1 系统技术选型总览</w:t>
      </w:r>
    </w:p>
    <w:p w14:paraId="61172897">
      <w:pPr>
        <w:pStyle w:val="4"/>
      </w:pPr>
      <w:r>
        <w:t>1.3 模块划分</w:t>
      </w:r>
    </w:p>
    <w:p w14:paraId="32F08A6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项目按功能划分为8个核心模块：</w:t>
      </w:r>
    </w:p>
    <w:p w14:paraId="33579E2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agents/ — 多智能体系统：base_agent.py（基类，含prompt-based ReAct循环）、perception_agent.py（感知）、analysis_agent.py（分析）、report_agent.py（AIGC报告）、alert_agent.py（预警）、orchestrator_agent.py（协调调度）。</w:t>
      </w:r>
    </w:p>
    <w:p w14:paraId="4E0BEFE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aigc/ — AIGC内容生成引擎：llm_client.py（LLM调用客户端，含并发控制+调用日志）、report_generator.py（LLM优先→模板降级）、plan_generator.py、letter_generator.py、narrative_generator.py。</w:t>
      </w:r>
    </w:p>
    <w:p w14:paraId="36D71E5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vibraimage/ — 前庭振动引擎（18个文件）：pipeline/（主引擎+YOLOv8人脸检测）、core/（帧差分/频率分析/直方图/空间/频谱）、emotions/（E1-E12+K值+P14）。</w:t>
      </w:r>
    </w:p>
    <w:p w14:paraId="13E7BC7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llm/ — 平台适配层：platform_adapter.py（多平台统一适配+ExtraBodyChatOpenAI）、deepseek.py（备用接口）。</w:t>
      </w:r>
    </w:p>
    <w:p w14:paraId="126B794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(5) graph/ — LLM驱动的多Agent协作：gpu_backend.py（GPU适配层，PyTorch MUSA/CUDA→NumPy fallback）、detector.py（启动时自动探测GPU型号）。</w:t>
      </w:r>
    </w:p>
    <w:p w14:paraId="3B66B0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(6) tools/ — 核心工具层：emotion_recognition.py（双模态融合）、mental_health.py（12项指标+Lingshu-32B大模型）、feedback.py（7渠道通知）、obs_storage.py（华为云OBS）、vestibular_recognition.py（VibraImage调用封装）。</w:t>
      </w:r>
    </w:p>
    <w:p w14:paraId="40F544C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(7) api/routes/ — REST API（8个路由文件，37个端点）：dashboard、students、alerts、upload、sse、aigc、agents、vibraimage、admin。</w:t>
      </w:r>
    </w:p>
    <w:p w14:paraId="598C8F7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(8) middleware/ — 中间件：logging.py（API请求日志）、rate_limit.py（限流）。</w:t>
      </w:r>
    </w:p>
    <w:p w14:paraId="2858452D">
      <w:pPr>
        <w:pStyle w:val="4"/>
      </w:pPr>
      <w:r>
        <w:t>1.4 数据流设计</w:t>
      </w:r>
    </w:p>
    <w:p w14:paraId="2320C68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系统数据流分为内环（实时情绪感知）和外环（每日深度分析）两条路径，统一由OrchestratorAgent调度，Lingshu-32B驱动：</w:t>
      </w:r>
    </w:p>
    <w:p w14:paraId="03DA258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【内环】视频上传 → PerceptionAgent.think()（Lingshu-32B驱动双模态识别：面部0.6 + 前庭0.4加权融合） → store逻辑（存入SQLite + OBS持久化） → 前端SSE实时推送。</w:t>
      </w:r>
    </w:p>
    <w:p w14:paraId="7ED97A9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【外环】每天22:00触发 → aggregate逻辑（拉取7天时序数据） → AnalysisAgent.think()（EmotionDataPreprocessor预处理计算统计指标 → 提交Lingshu-32B深度分析） → alert逻辑（三级风险判定） → AlertAgent.think() → ReportAgent.think() → 多渠道通知。</w:t>
      </w:r>
    </w:p>
    <w:p w14:paraId="5925273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数据库包含4张表：students（学生信息）、emotion_records（37列，含VibraImage E1-E12+K值）、daily_reports（每日分析报告）、alerts（预警记录）。</w:t>
      </w:r>
    </w:p>
    <w:p w14:paraId="6F0E9DF1">
      <w:pPr>
        <w:pStyle w:val="3"/>
      </w:pPr>
      <w:bookmarkStart w:id="2" w:name="_Toc23420"/>
      <w:r>
        <w:t>二、详细实现逻辑</w:t>
      </w:r>
      <w:bookmarkEnd w:id="2"/>
    </w:p>
    <w:p w14:paraId="1EE9D7D2">
      <w:pPr>
        <w:pStyle w:val="4"/>
      </w:pPr>
      <w:r>
        <w:t>2.1 AI算力平台适配层</w:t>
      </w:r>
    </w:p>
    <w:p w14:paraId="35FDDC9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平台适配层（backend/llm/platform_adapter.py）实现了多国产算力平台的统一适配。支持灵枢Lingshu-32B（moark.com沐曦GPU）、Gitee.AI（沐曦GPU）、DeepSeek、本地模型和自定义OpenAI兼容端点共5个平台。</w:t>
      </w:r>
    </w:p>
    <w:p w14:paraId="1373567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核心实现要点：</w:t>
      </w:r>
    </w:p>
    <w:p w14:paraId="22D6E52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ExtraBodyChatOpenAI子类：继承langchain_openai.ChatOpenAI，重写_get_request_payload方法注入extra_body（如top_k=-1），同时移除moark.com不支持的tool_choice参数。</w:t>
      </w:r>
    </w:p>
    <w:p w14:paraId="563AEC8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PlatformAdapter适配器：从pydantic Settings自动加载.env配置，根据AI_PLATFORM变量选择平台。支持create_llm和create_llm_with_fallback（主平台不可用时自动切换DeepSeek备用）。</w:t>
      </w:r>
    </w:p>
    <w:p w14:paraId="7C08A00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灵枢调用参数：model=Lingshu-32B, base_url=https://api.moark.com/v1, top_k=-1, top_p=1.0, frequency_penalty=0.0，标准OpenAI兼容协议。</w:t>
      </w:r>
    </w:p>
    <w:p w14:paraId="713AEAF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Lingshu-32B不支持原生function calling（tool_choice参数返回400错误），本平台通过两种策略适配：AIGC生成器通过llm_client.py直接调用OpenAI SDK（不经过tool_choice）；Agent工具调用通过prompt-based ReAct循环（系统提示词描述工具→LLM以&lt;tool_call&gt;JSON格式请求→Python解析并执行→结果回传LLM继续推理）。</w:t>
      </w:r>
    </w:p>
    <w:p w14:paraId="1E50919A">
      <w:pPr>
        <w:pStyle w:val="4"/>
      </w:pPr>
      <w:r>
        <w:t>2.2 多智能体协作系统</w:t>
      </w:r>
    </w:p>
    <w:p w14:paraId="7A3F1BC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系统包含5个专业智能体，每个是独立的LangGraph ReAct Agent，由Lingshu-32B提供推理能力：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3"/>
        <w:gridCol w:w="878"/>
        <w:gridCol w:w="943"/>
        <w:gridCol w:w="2376"/>
        <w:gridCol w:w="3636"/>
      </w:tblGrid>
      <w:tr w14:paraId="4678F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0BE68B08">
            <w:pPr>
              <w:spacing w:after="0" w:line="240" w:lineRule="auto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1660" w:type="dxa"/>
          </w:tcPr>
          <w:p w14:paraId="78216D82">
            <w:pPr>
              <w:spacing w:after="0" w:line="240" w:lineRule="auto"/>
            </w:pPr>
            <w:r>
              <w:rPr>
                <w:b/>
                <w:sz w:val="18"/>
              </w:rPr>
              <w:t>智能体</w:t>
            </w:r>
          </w:p>
        </w:tc>
        <w:tc>
          <w:tcPr>
            <w:tcW w:w="1660" w:type="dxa"/>
          </w:tcPr>
          <w:p w14:paraId="3E1B20EA">
            <w:pPr>
              <w:spacing w:after="0" w:line="240" w:lineRule="auto"/>
            </w:pPr>
            <w:r>
              <w:rPr>
                <w:b/>
                <w:sz w:val="18"/>
              </w:rPr>
              <w:t>职责</w:t>
            </w:r>
          </w:p>
        </w:tc>
        <w:tc>
          <w:tcPr>
            <w:tcW w:w="1660" w:type="dxa"/>
          </w:tcPr>
          <w:p w14:paraId="15BD299C">
            <w:pPr>
              <w:spacing w:after="0" w:line="240" w:lineRule="auto"/>
            </w:pPr>
            <w:r>
              <w:rPr>
                <w:b/>
                <w:sz w:val="18"/>
              </w:rPr>
              <w:t>工具</w:t>
            </w:r>
          </w:p>
        </w:tc>
        <w:tc>
          <w:tcPr>
            <w:tcW w:w="1660" w:type="dxa"/>
          </w:tcPr>
          <w:p w14:paraId="40DF6EF3">
            <w:pPr>
              <w:spacing w:after="0" w:line="240" w:lineRule="auto"/>
            </w:pPr>
            <w:r>
              <w:rPr>
                <w:b/>
                <w:sz w:val="18"/>
              </w:rPr>
              <w:t>关键实现</w:t>
            </w:r>
          </w:p>
        </w:tc>
      </w:tr>
      <w:tr w14:paraId="398AB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3082FD0D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1660" w:type="dxa"/>
          </w:tcPr>
          <w:p w14:paraId="01520616">
            <w:pPr>
              <w:spacing w:after="0" w:line="240" w:lineRule="auto"/>
            </w:pPr>
            <w:r>
              <w:rPr>
                <w:sz w:val="18"/>
              </w:rPr>
              <w:t>感知智能体</w:t>
            </w:r>
          </w:p>
        </w:tc>
        <w:tc>
          <w:tcPr>
            <w:tcW w:w="1660" w:type="dxa"/>
          </w:tcPr>
          <w:p w14:paraId="2A29FBED">
            <w:pPr>
              <w:spacing w:after="0" w:line="240" w:lineRule="auto"/>
            </w:pPr>
            <w:r>
              <w:rPr>
                <w:sz w:val="18"/>
              </w:rPr>
              <w:t>双模态情绪识别与融合</w:t>
            </w:r>
          </w:p>
        </w:tc>
        <w:tc>
          <w:tcPr>
            <w:tcW w:w="1660" w:type="dxa"/>
          </w:tcPr>
          <w:p w14:paraId="6B120107">
            <w:pPr>
              <w:spacing w:after="0" w:line="240" w:lineRule="auto"/>
            </w:pPr>
            <w:r>
              <w:rPr>
                <w:sz w:val="18"/>
              </w:rPr>
              <w:t>EmotionRecognitionTool</w:t>
            </w:r>
          </w:p>
        </w:tc>
        <w:tc>
          <w:tcPr>
            <w:tcW w:w="1660" w:type="dxa"/>
          </w:tcPr>
          <w:p w14:paraId="7C81EE45">
            <w:pPr>
              <w:spacing w:after="0" w:line="240" w:lineRule="auto"/>
            </w:pPr>
            <w:r>
              <w:rPr>
                <w:sz w:val="18"/>
              </w:rPr>
              <w:t>加权融合(面部0.6+前庭0.4)，置信度差异&gt;35%触发复核</w:t>
            </w:r>
          </w:p>
        </w:tc>
      </w:tr>
      <w:tr w14:paraId="3FBD5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5F311E05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660" w:type="dxa"/>
          </w:tcPr>
          <w:p w14:paraId="475C373C">
            <w:pPr>
              <w:spacing w:after="0" w:line="240" w:lineRule="auto"/>
            </w:pPr>
            <w:r>
              <w:rPr>
                <w:sz w:val="18"/>
              </w:rPr>
              <w:t>分析智能体</w:t>
            </w:r>
          </w:p>
        </w:tc>
        <w:tc>
          <w:tcPr>
            <w:tcW w:w="1660" w:type="dxa"/>
          </w:tcPr>
          <w:p w14:paraId="46FFC45E">
            <w:pPr>
              <w:spacing w:after="0" w:line="240" w:lineRule="auto"/>
            </w:pPr>
            <w:r>
              <w:rPr>
                <w:sz w:val="18"/>
              </w:rPr>
              <w:t>12项心理指标+风险判定</w:t>
            </w:r>
          </w:p>
        </w:tc>
        <w:tc>
          <w:tcPr>
            <w:tcW w:w="1660" w:type="dxa"/>
          </w:tcPr>
          <w:p w14:paraId="39F94D71">
            <w:pPr>
              <w:spacing w:after="0" w:line="240" w:lineRule="auto"/>
            </w:pPr>
            <w:r>
              <w:rPr>
                <w:sz w:val="18"/>
              </w:rPr>
              <w:t>MentalHealthAnalysisTool</w:t>
            </w:r>
          </w:p>
        </w:tc>
        <w:tc>
          <w:tcPr>
            <w:tcW w:w="1660" w:type="dxa"/>
          </w:tcPr>
          <w:p w14:paraId="39A87C06">
            <w:pPr>
              <w:spacing w:after="0" w:line="240" w:lineRule="auto"/>
            </w:pPr>
            <w:r>
              <w:rPr>
                <w:sz w:val="18"/>
              </w:rPr>
              <w:t>Lingshu-32B大模型深度分析，绿/黄/红风险等级</w:t>
            </w:r>
          </w:p>
        </w:tc>
      </w:tr>
      <w:tr w14:paraId="1D42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476D85F4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1660" w:type="dxa"/>
          </w:tcPr>
          <w:p w14:paraId="74FC078E">
            <w:pPr>
              <w:spacing w:after="0" w:line="240" w:lineRule="auto"/>
            </w:pPr>
            <w:r>
              <w:rPr>
                <w:sz w:val="18"/>
              </w:rPr>
              <w:t>AIGC报告智能体</w:t>
            </w:r>
          </w:p>
        </w:tc>
        <w:tc>
          <w:tcPr>
            <w:tcW w:w="1660" w:type="dxa"/>
          </w:tcPr>
          <w:p w14:paraId="7BFE14F1">
            <w:pPr>
              <w:spacing w:after="0" w:line="240" w:lineRule="auto"/>
            </w:pPr>
            <w:r>
              <w:rPr>
                <w:sz w:val="18"/>
              </w:rPr>
              <w:t>日报/方案/沟通函/叙事</w:t>
            </w:r>
          </w:p>
        </w:tc>
        <w:tc>
          <w:tcPr>
            <w:tcW w:w="1660" w:type="dxa"/>
          </w:tcPr>
          <w:p w14:paraId="7CC6ECA7">
            <w:pPr>
              <w:spacing w:after="0" w:line="240" w:lineRule="auto"/>
            </w:pPr>
            <w:r>
              <w:rPr>
                <w:sz w:val="18"/>
              </w:rPr>
              <w:t>4个AIGC生成器</w:t>
            </w:r>
          </w:p>
        </w:tc>
        <w:tc>
          <w:tcPr>
            <w:tcW w:w="1660" w:type="dxa"/>
          </w:tcPr>
          <w:p w14:paraId="15BDEAB8">
            <w:pPr>
              <w:spacing w:after="0" w:line="240" w:lineRule="auto"/>
            </w:pPr>
            <w:r>
              <w:rPr>
                <w:sz w:val="18"/>
              </w:rPr>
              <w:t>LLM优先→模板降级双轨策略</w:t>
            </w:r>
          </w:p>
        </w:tc>
      </w:tr>
      <w:tr w14:paraId="4B212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0B2CBA6D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1660" w:type="dxa"/>
          </w:tcPr>
          <w:p w14:paraId="15BB8F64">
            <w:pPr>
              <w:spacing w:after="0" w:line="240" w:lineRule="auto"/>
            </w:pPr>
            <w:r>
              <w:rPr>
                <w:sz w:val="18"/>
              </w:rPr>
              <w:t>预警智能体</w:t>
            </w:r>
          </w:p>
        </w:tc>
        <w:tc>
          <w:tcPr>
            <w:tcW w:w="1660" w:type="dxa"/>
          </w:tcPr>
          <w:p w14:paraId="33601E1F">
            <w:pPr>
              <w:spacing w:after="0" w:line="240" w:lineRule="auto"/>
            </w:pPr>
            <w:r>
              <w:rPr>
                <w:sz w:val="18"/>
              </w:rPr>
              <w:t>三级预警+7渠道反馈</w:t>
            </w:r>
          </w:p>
        </w:tc>
        <w:tc>
          <w:tcPr>
            <w:tcW w:w="1660" w:type="dxa"/>
          </w:tcPr>
          <w:p w14:paraId="6B172F65">
            <w:pPr>
              <w:spacing w:after="0" w:line="240" w:lineRule="auto"/>
            </w:pPr>
            <w:r>
              <w:rPr>
                <w:sz w:val="18"/>
              </w:rPr>
              <w:t>MultiChannelFeedbackTool</w:t>
            </w:r>
          </w:p>
        </w:tc>
        <w:tc>
          <w:tcPr>
            <w:tcW w:w="1660" w:type="dxa"/>
          </w:tcPr>
          <w:p w14:paraId="04162093">
            <w:pPr>
              <w:spacing w:after="0" w:line="240" w:lineRule="auto"/>
            </w:pPr>
            <w:r>
              <w:rPr>
                <w:sz w:val="18"/>
              </w:rPr>
              <w:t>绿色→APP；黄色→+微信班主任；红色→全渠道+紧急工单</w:t>
            </w:r>
          </w:p>
        </w:tc>
      </w:tr>
      <w:tr w14:paraId="03B39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7DC5107F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660" w:type="dxa"/>
          </w:tcPr>
          <w:p w14:paraId="10E4E81C">
            <w:pPr>
              <w:spacing w:after="0" w:line="240" w:lineRule="auto"/>
            </w:pPr>
            <w:r>
              <w:rPr>
                <w:sz w:val="18"/>
              </w:rPr>
              <w:t>协调智能体</w:t>
            </w:r>
          </w:p>
        </w:tc>
        <w:tc>
          <w:tcPr>
            <w:tcW w:w="1660" w:type="dxa"/>
          </w:tcPr>
          <w:p w14:paraId="75724778">
            <w:pPr>
              <w:spacing w:after="0" w:line="240" w:lineRule="auto"/>
            </w:pPr>
            <w:r>
              <w:rPr>
                <w:sz w:val="18"/>
              </w:rPr>
              <w:t>多Agent调度+SSE推送</w:t>
            </w:r>
          </w:p>
        </w:tc>
        <w:tc>
          <w:tcPr>
            <w:tcW w:w="1660" w:type="dxa"/>
          </w:tcPr>
          <w:p w14:paraId="24AE583A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660" w:type="dxa"/>
          </w:tcPr>
          <w:p w14:paraId="24867BC3">
            <w:pPr>
              <w:spacing w:after="0" w:line="240" w:lineRule="auto"/>
            </w:pPr>
            <w:r>
              <w:rPr>
                <w:sz w:val="18"/>
              </w:rPr>
              <w:t>asyncio.Queue事件队列，thought/action/observation/final/error五类事件</w:t>
            </w:r>
          </w:p>
        </w:tc>
      </w:tr>
    </w:tbl>
    <w:p w14:paraId="47BAE7CB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表2 多智能体协作系统</w:t>
      </w:r>
    </w:p>
    <w:p w14:paraId="6480820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智能体协作流程：协调智能体依次调度感知→分析→报告→预警四个子Agent，通过SSE事件队列实时推送执行状态到前端Agent面板。每个Agent通过base_agent.py基类提供的think()方法执行推理，lingshu平台使用prompt-based ReAct循环（MAX_ITERATIONS=5，防循环机制）。</w:t>
      </w:r>
    </w:p>
    <w:p w14:paraId="5887C6C5">
      <w:pPr>
        <w:pStyle w:val="4"/>
      </w:pPr>
      <w:r>
        <w:t>2.3 VibraImage前庭振动引擎</w:t>
      </w:r>
    </w:p>
    <w:p w14:paraId="2B14F53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VibraImage引擎基于Viktor Minkin "Vibraimage, Cybernetics and Emotions" (2020) 专著公开公式，实现从视频帧到情绪参数的全链路白盒计算：</w:t>
      </w:r>
    </w:p>
    <w:p w14:paraId="2944C11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处理流水线：视频加载 → YOLOv8人脸检测 → 头部ROI裁剪(224×224) → 滑动窗口(100帧/窗, 50%重叠) → 逐像素帧差分 → 过零率频率分析 → 频率直方图统计 → 左右空间对称性分析 → 频谱功率分布 → E1-E12情绪参数计算 → K值心理状态指标。</w:t>
      </w:r>
    </w:p>
    <w:p w14:paraId="4E40032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E1-E12每个参数都有明确物理含义，非黑盒神经网络：E1攻击性（振动频率峰值×离散度）、E2压力（左右半脸不对称度）、E3紧张（高频能量占比）、E4可疑（E1+E2+E3均值）、E5平衡（参数间变异性）、E6魅力（左右协调性）、E7活力（直方图统计）、E8自我调节（E5/E6稳定性）、E9抑制（F1主导周期）、E10神经质（E9窗口间标准差×10）、E11抑郁（σ相对0.5Hz偏移）、E12幸福（信息效能×能量特征）。</w:t>
      </w:r>
    </w:p>
    <w:p w14:paraId="233BC0F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K值综合心理状态指标：K = Σ m_i × (T_i − T_n_i)，基于10,266人常模数据库。|K|&lt;3正常，3≤|K|&lt;6关注，|K|≥6预警。容错设计：YOLOv8不可用→Haar Cascade，引擎不可用→随机stub，不影响系统运行。</w:t>
      </w:r>
    </w:p>
    <w:p w14:paraId="00C6A7A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E1-E12 → Valence/Arousal映射：正性参数（balance/charm/energy/happiness等）→正效价，负性参数（aggression/stress/tension/depression等）→负效价。Arousal由energy(0.6) + tension(0.4)组合计算。</w:t>
      </w:r>
    </w:p>
    <w:p w14:paraId="2A7D05EB">
      <w:pPr>
        <w:pStyle w:val="4"/>
      </w:pPr>
      <w:r>
        <w:t>2.4 双模态情绪融合</w:t>
      </w:r>
    </w:p>
    <w:p w14:paraId="043760F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融合策略采用加权平均法：</w:t>
      </w:r>
    </w:p>
    <w:p w14:paraId="3643679C">
      <w:r>
        <w:rPr>
          <w:rFonts w:ascii="宋体" w:hAnsi="宋体" w:eastAsia="宋体"/>
          <w:b w:val="0"/>
          <w:sz w:val="24"/>
        </w:rPr>
        <w:t xml:space="preserve">  Valence_fused = 0.6 × Valence_facial + 0.4 × Valence_vestibular</w:t>
      </w:r>
    </w:p>
    <w:p w14:paraId="60AEBAEF">
      <w:r>
        <w:rPr>
          <w:rFonts w:ascii="宋体" w:hAnsi="宋体" w:eastAsia="宋体"/>
          <w:b w:val="0"/>
          <w:sz w:val="24"/>
        </w:rPr>
        <w:t xml:space="preserve">  Arousal_fused = 0.6 × Arousal_facial + 0.4 × Arousal_vestibular</w:t>
      </w:r>
    </w:p>
    <w:p w14:paraId="360322CB">
      <w:r>
        <w:rPr>
          <w:rFonts w:ascii="宋体" w:hAnsi="宋体" w:eastAsia="宋体"/>
          <w:b w:val="0"/>
          <w:sz w:val="24"/>
        </w:rPr>
        <w:t xml:space="preserve">  Score = sigmoid(0.5 × Valence + 0.5 × Arousal + 0.5) × (0.85 + 0.15 × confidence_weight)</w:t>
      </w:r>
    </w:p>
    <w:p w14:paraId="29324F4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最终情绪类别通过效价-唤醒度空间映射到6种基本情绪：开心(正效价高唤醒)、平静(正效价低唤醒)、悲伤(负效价低唤醒)、焦虑(负效价中唤醒)、愤怒(负效价高唤醒)、惊讶(中性高唤醒)。当双模态置信度差异超过35%时自动触发复核机制。</w:t>
      </w:r>
    </w:p>
    <w:p w14:paraId="44FE280E">
      <w:pPr>
        <w:pStyle w:val="4"/>
      </w:pPr>
      <w:r>
        <w:t>2.5 AIGC内容生成引擎</w:t>
      </w:r>
    </w:p>
    <w:p w14:paraId="1F7EBAC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AIGC引擎是本项目核心创新之一。四个生成器均采用"LLM优先 + 模板降级"双轨策略：</w:t>
      </w:r>
    </w:p>
    <w:p w14:paraId="00C339A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ReportGenerator：基于当日情绪数据+12项指标+风险等级，构造结构化prompt调用Lingshu-32B生成Markdown格式心理评估日报（含情绪概况、关键指标表格、关键发现、风险分析、明日预测、建议措施6个板块）。LLM不可用时降级到预定义模板。</w:t>
      </w:r>
    </w:p>
    <w:p w14:paraId="323BA54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PlanGenerator：根据风险等级（绿/黄/红）+风险因素+心理健康指标，生成个性化干预方案（问题诊断、干预目标、具体措施、资源支持、预期效果、评估计划）。</w:t>
      </w:r>
    </w:p>
    <w:p w14:paraId="39D8A2C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LetterGenerator：用温和措辞向家长传达学生情绪状态，三级措辞（绿色→积极表扬；黄色→温和关注；红色→严肃但不恐慌）。</w:t>
      </w:r>
    </w:p>
    <w:p w14:paraId="4520B4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NarrativeGenerator：基于30天历史数据生成学生心理成长叙事（成长概述、闪光时刻、成长轨迹、进步认可、未来展望）。</w:t>
      </w:r>
    </w:p>
    <w:p w14:paraId="3F078F7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llm_client.py实现了完整的LLM调用基础设施：OpenAI兼容客户端（单例缓存）、threading.Semaphore(3)并发控制、JSONL格式调用日志（含timestamp/model/tokens/duration/error）、&lt;think&gt;标记自动清理、失败自动降级。</w:t>
      </w:r>
    </w:p>
    <w:p w14:paraId="08347187">
      <w:pPr>
        <w:pStyle w:val="4"/>
      </w:pPr>
      <w:r>
        <w:t>2.6 LLM驱动的多Agent协作</w:t>
      </w:r>
    </w:p>
    <w:p w14:paraId="4747378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系统使用OrchestratorAgent协调框架构建两个工作流：</w:t>
      </w:r>
    </w:p>
    <w:p w14:paraId="0C85CCC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内环（实时情绪感知）：PerceptionAgent.think() → Lingshu-32B驱动多模态情绪识别 → 存储到SQLite+OBS → SSE实时推送。</w:t>
      </w:r>
    </w:p>
    <w:p w14:paraId="2E3778B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外环（每日深度分析）：EmotionDataPreprocessor（统计预处理）→ AnalysisAgent.think()（Lingshu-32B深度分析）→ ReportAgent.think()（AIGC报告生成）→ AlertAgent.think()（预警判定+多渠道通知）。</w:t>
      </w:r>
    </w:p>
    <w:p w14:paraId="491ED41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定时任务由APScheduler管理：内环每15分钟一次，外环每天22:00一次。统计指标通过EmotionDataPreprocessor计算（真实数学统计，无随机假数据），LLM层由Lingshu-32B完成语义理解和风险分析。</w:t>
      </w:r>
    </w:p>
    <w:p w14:paraId="3C8F45C3">
      <w:pPr>
        <w:pStyle w:val="4"/>
      </w:pPr>
      <w:r>
        <w:t>2.7 前端仪表盘</w:t>
      </w:r>
    </w:p>
    <w:p w14:paraId="06F18F2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前端采用Vue 3 Composition API + Vite构建，6个页面：仪表盘（3个指标卡片+7日趋势图+预警分布+最近记录+系统控制）、情绪监测、预警面板（列表+筛选+确认）、学生详情（完整心理档案）、AIGC报告（生成+查看）、智能体面板（5Agent状态+SSE流式窗口）、视频上传。使用ECharts进行可视化，SSE（Server-Sent Events）实现Agent协作过程实时流式展示。每个页面右下角有用户反馈浮窗（星级评分+文字反馈）。</w:t>
      </w:r>
    </w:p>
    <w:p w14:paraId="42F693B0">
      <w:pPr>
        <w:pStyle w:val="4"/>
      </w:pPr>
      <w:r>
        <w:t>2.8 工程优化与系统稳定性</w:t>
      </w:r>
    </w:p>
    <w:p w14:paraId="45CE867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阶段三新增以下工程优化措施（全部26/26自动化测试通过）：</w:t>
      </w:r>
    </w:p>
    <w:p w14:paraId="29DFD06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全局异常处理：FastAPI统一exception_handler，捕获未处理异常返回结构化JSON错误。</w:t>
      </w:r>
    </w:p>
    <w:p w14:paraId="50474F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API请求限流：IP级别滑动窗口限流中间件，普通端点60次/分钟，LLM端点10次/分钟。</w:t>
      </w:r>
    </w:p>
    <w:p w14:paraId="72DC183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API调用日志：APILoggingMiddleware记录每个请求的endpoint/method/status/duration/client_ip，输出JSONL日志+内存统计，支持实时查询。</w:t>
      </w:r>
    </w:p>
    <w:p w14:paraId="7E9F840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LLM并发控制：threading.Semaphore(3)限制并发LLM调用，保护moark.com API不被限流。</w:t>
      </w:r>
    </w:p>
    <w:p w14:paraId="4DF66E5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(5) LLM调用统计：每次LLM调用的timestamp/model/tokens/duration/success记录到JSONL文件，管理API可查询统计。</w:t>
      </w:r>
    </w:p>
    <w:p w14:paraId="11463A7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(6) 调度器日志：定时任务执行结果记录到scheduler.log。</w:t>
      </w:r>
    </w:p>
    <w:p w14:paraId="0E4B27D3">
      <w:pPr>
        <w:ind w:firstLine="480" w:firstLineChars="200"/>
        <w:rPr>
          <w:rFonts w:ascii="宋体" w:hAnsi="宋体" w:eastAsia="宋体"/>
          <w:b w:val="0"/>
          <w:sz w:val="24"/>
        </w:rPr>
      </w:pPr>
      <w:r>
        <w:rPr>
          <w:rFonts w:ascii="宋体" w:hAnsi="宋体" w:eastAsia="宋体"/>
          <w:b w:val="0"/>
          <w:sz w:val="24"/>
        </w:rPr>
        <w:t>(7) 管理API：/api/admin/stats（运营统计）、/api/admin/stats/llm（LLM统计）、/api/admin/stats/feedback（反馈统计）、/api/admin/health/detail（深度健康检查含LLM连通性）、/api/admin/export（CSV导出）。</w:t>
      </w:r>
    </w:p>
    <w:p w14:paraId="5201C95A">
      <w:r>
        <w:rPr>
          <w:rFonts w:eastAsia="黑体"/>
          <w:b/>
          <w:sz w:val="28"/>
        </w:rPr>
        <w:t>2.9 心理量表自评与AI交叉验证</w:t>
      </w:r>
    </w:p>
    <w:p w14:paraId="5A6BCF38">
      <w:r>
        <w:rPr>
          <w:rFonts w:eastAsia="宋体"/>
          <w:sz w:val="24"/>
        </w:rPr>
        <w:t>为弥补纯AI情绪识别在效度验证方面的不足，系统内置了三套国际标准化心理量表——SAS（焦虑自评量表，Zung 1971）、SDS（抑郁自评量表，Zung 1965）和SCL-90（症状自评量表，Derogatis 1975，10维度/90题）。三种量表题目均来源于公开发表学术论文，遵循学术使用规范。</w:t>
      </w:r>
    </w:p>
    <w:p w14:paraId="2181932E">
      <w:r>
        <w:rPr>
          <w:rFonts w:eastAsia="宋体"/>
          <w:sz w:val="24"/>
        </w:rPr>
        <w:t>量表功能由前端自评页面、后端自动计分引擎和数据库ScaleResult表三部分组成。学生通过前端页面完成自评后，系统根据标准计分规则自动计算原始分、标准分（raw×1.25）和等级（正常/轻度/中度/偏重）；SCL-90额外输出10维度因子分。</w:t>
      </w:r>
    </w:p>
    <w:p w14:paraId="4CAD0901">
      <w:r>
        <w:rPr>
          <w:rFonts w:eastAsia="宋体"/>
          <w:sz w:val="24"/>
        </w:rPr>
        <w:t>AI交叉验证模块（GET /api/scales/crosscheck/{student_id}）将量表结果与学生情绪识别数据对比——例如当SAS标准分≥60且AI平均情绪评分&lt;0.4时判定一致高风险，否则建议复核。AIGC报告自动生成时附带量表参照数据，为AI评估结论提供标准化效度基准。</w:t>
      </w:r>
    </w:p>
    <w:p w14:paraId="00FFFE54">
      <w:pPr>
        <w:rPr>
          <w:rFonts w:ascii="宋体" w:hAnsi="宋体" w:eastAsia="宋体"/>
          <w:b w:val="0"/>
          <w:sz w:val="24"/>
        </w:rPr>
      </w:pPr>
      <w:r>
        <w:rPr>
          <w:rFonts w:eastAsia="宋体"/>
          <w:sz w:val="24"/>
        </w:rPr>
        <w:t>预种数据包含每名学生2份量表测评记录（SAS/SDS），确保系统启动后仪表盘和AIGC报告页面有完整数据可展示。</w:t>
      </w:r>
    </w:p>
    <w:p w14:paraId="61F1482F">
      <w:pPr>
        <w:pStyle w:val="3"/>
      </w:pPr>
      <w:bookmarkStart w:id="3" w:name="_Toc29931"/>
      <w:r>
        <w:t>三、全量测试结果与性能分析</w:t>
      </w:r>
      <w:bookmarkEnd w:id="3"/>
    </w:p>
    <w:p w14:paraId="073AC208">
      <w:pPr>
        <w:pStyle w:val="4"/>
      </w:pPr>
      <w:r>
        <w:t>3.1 测试概览</w:t>
      </w:r>
    </w:p>
    <w:p w14:paraId="5FAF92B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项目建立了完整的自动化测试体系，覆盖平台适配器、多智能体系统、AIGC生成器、LangGraph状态机四个核心模块。所有测试均基于真实数据或模拟数据进行，其中AIGC生成器测试包含真实的Lingshu-32B LLM调用。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2376"/>
        <w:gridCol w:w="1209"/>
        <w:gridCol w:w="1209"/>
        <w:gridCol w:w="1209"/>
        <w:gridCol w:w="1272"/>
      </w:tblGrid>
      <w:tr w14:paraId="16E09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16CA4908">
            <w:pPr>
              <w:spacing w:after="0" w:line="240" w:lineRule="auto"/>
            </w:pPr>
            <w:r>
              <w:rPr>
                <w:b/>
                <w:sz w:val="18"/>
              </w:rPr>
              <w:t>测试模块</w:t>
            </w:r>
          </w:p>
        </w:tc>
        <w:tc>
          <w:tcPr>
            <w:tcW w:w="1383" w:type="dxa"/>
          </w:tcPr>
          <w:p w14:paraId="77730B9E">
            <w:pPr>
              <w:spacing w:after="0" w:line="240" w:lineRule="auto"/>
            </w:pPr>
            <w:r>
              <w:rPr>
                <w:b/>
                <w:sz w:val="18"/>
              </w:rPr>
              <w:t>测试文件</w:t>
            </w:r>
          </w:p>
        </w:tc>
        <w:tc>
          <w:tcPr>
            <w:tcW w:w="1383" w:type="dxa"/>
          </w:tcPr>
          <w:p w14:paraId="5E01E3F5">
            <w:pPr>
              <w:spacing w:after="0" w:line="240" w:lineRule="auto"/>
            </w:pPr>
            <w:r>
              <w:rPr>
                <w:b/>
                <w:sz w:val="18"/>
              </w:rPr>
              <w:t>测试数</w:t>
            </w:r>
          </w:p>
        </w:tc>
        <w:tc>
          <w:tcPr>
            <w:tcW w:w="1383" w:type="dxa"/>
          </w:tcPr>
          <w:p w14:paraId="73F46520">
            <w:pPr>
              <w:spacing w:after="0" w:line="240" w:lineRule="auto"/>
            </w:pPr>
            <w:r>
              <w:rPr>
                <w:b/>
                <w:sz w:val="18"/>
              </w:rPr>
              <w:t>通过</w:t>
            </w:r>
          </w:p>
        </w:tc>
        <w:tc>
          <w:tcPr>
            <w:tcW w:w="1383" w:type="dxa"/>
          </w:tcPr>
          <w:p w14:paraId="1E3B78AD">
            <w:pPr>
              <w:spacing w:after="0" w:line="240" w:lineRule="auto"/>
            </w:pPr>
            <w:r>
              <w:rPr>
                <w:b/>
                <w:sz w:val="18"/>
              </w:rPr>
              <w:t>跳过</w:t>
            </w:r>
          </w:p>
        </w:tc>
        <w:tc>
          <w:tcPr>
            <w:tcW w:w="1383" w:type="dxa"/>
          </w:tcPr>
          <w:p w14:paraId="513284BF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2277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3AA73AB">
            <w:pPr>
              <w:spacing w:after="0" w:line="240" w:lineRule="auto"/>
            </w:pPr>
            <w:r>
              <w:rPr>
                <w:sz w:val="18"/>
              </w:rPr>
              <w:t>平台适配器</w:t>
            </w:r>
          </w:p>
        </w:tc>
        <w:tc>
          <w:tcPr>
            <w:tcW w:w="1383" w:type="dxa"/>
          </w:tcPr>
          <w:p w14:paraId="16BA130D">
            <w:pPr>
              <w:spacing w:after="0" w:line="240" w:lineRule="auto"/>
            </w:pPr>
            <w:r>
              <w:rPr>
                <w:sz w:val="18"/>
              </w:rPr>
              <w:t>test_platform_adapter.py</w:t>
            </w:r>
          </w:p>
        </w:tc>
        <w:tc>
          <w:tcPr>
            <w:tcW w:w="1383" w:type="dxa"/>
          </w:tcPr>
          <w:p w14:paraId="0A1C3A82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383" w:type="dxa"/>
          </w:tcPr>
          <w:p w14:paraId="15F0F7A8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383" w:type="dxa"/>
          </w:tcPr>
          <w:p w14:paraId="46D7330C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2A751A67">
            <w:pPr>
              <w:spacing w:after="0" w:line="240" w:lineRule="auto"/>
            </w:pPr>
            <w:r>
              <w:rPr>
                <w:sz w:val="18"/>
              </w:rPr>
              <w:t>平台配置/枚举/缓存/信息结构</w:t>
            </w:r>
          </w:p>
        </w:tc>
      </w:tr>
      <w:tr w14:paraId="62F39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642A3D2">
            <w:pPr>
              <w:spacing w:after="0" w:line="240" w:lineRule="auto"/>
            </w:pPr>
            <w:r>
              <w:rPr>
                <w:sz w:val="18"/>
              </w:rPr>
              <w:t>多智能体</w:t>
            </w:r>
          </w:p>
        </w:tc>
        <w:tc>
          <w:tcPr>
            <w:tcW w:w="1383" w:type="dxa"/>
          </w:tcPr>
          <w:p w14:paraId="12AC2D51">
            <w:pPr>
              <w:spacing w:after="0" w:line="240" w:lineRule="auto"/>
            </w:pPr>
            <w:r>
              <w:rPr>
                <w:sz w:val="18"/>
              </w:rPr>
              <w:t>test_agents.py</w:t>
            </w:r>
          </w:p>
        </w:tc>
        <w:tc>
          <w:tcPr>
            <w:tcW w:w="1383" w:type="dxa"/>
          </w:tcPr>
          <w:p w14:paraId="0A01D908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383" w:type="dxa"/>
          </w:tcPr>
          <w:p w14:paraId="6ED20B5E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383" w:type="dxa"/>
          </w:tcPr>
          <w:p w14:paraId="46733951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3EA71F78">
            <w:pPr>
              <w:spacing w:after="0" w:line="240" w:lineRule="auto"/>
            </w:pPr>
            <w:r>
              <w:rPr>
                <w:sz w:val="18"/>
              </w:rPr>
              <w:t>Agent创建/工具/信息/队列/ReAct</w:t>
            </w:r>
          </w:p>
        </w:tc>
      </w:tr>
      <w:tr w14:paraId="720E6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366A6A60">
            <w:pPr>
              <w:spacing w:after="0" w:line="240" w:lineRule="auto"/>
            </w:pPr>
            <w:r>
              <w:rPr>
                <w:sz w:val="18"/>
              </w:rPr>
              <w:t>AIGC生成器</w:t>
            </w:r>
          </w:p>
        </w:tc>
        <w:tc>
          <w:tcPr>
            <w:tcW w:w="1383" w:type="dxa"/>
          </w:tcPr>
          <w:p w14:paraId="356BF59A">
            <w:pPr>
              <w:spacing w:after="0" w:line="240" w:lineRule="auto"/>
            </w:pPr>
            <w:r>
              <w:rPr>
                <w:sz w:val="18"/>
              </w:rPr>
              <w:t>test_aigc.py</w:t>
            </w:r>
          </w:p>
        </w:tc>
        <w:tc>
          <w:tcPr>
            <w:tcW w:w="1383" w:type="dxa"/>
          </w:tcPr>
          <w:p w14:paraId="717C1D75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383" w:type="dxa"/>
          </w:tcPr>
          <w:p w14:paraId="511A19E9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383" w:type="dxa"/>
          </w:tcPr>
          <w:p w14:paraId="64930708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3B2B3418">
            <w:pPr>
              <w:spacing w:after="0" w:line="240" w:lineRule="auto"/>
            </w:pPr>
            <w:r>
              <w:rPr>
                <w:sz w:val="18"/>
              </w:rPr>
              <w:t>日报/周报/方案/沟通函/叙事生成+LLM调用</w:t>
            </w:r>
          </w:p>
        </w:tc>
      </w:tr>
      <w:tr w14:paraId="29344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C647230">
            <w:pPr>
              <w:spacing w:after="0" w:line="240" w:lineRule="auto"/>
            </w:pPr>
            <w:r>
              <w:rPr>
                <w:sz w:val="18"/>
              </w:rPr>
              <w:t>状态机端到端</w:t>
            </w:r>
          </w:p>
        </w:tc>
        <w:tc>
          <w:tcPr>
            <w:tcW w:w="1383" w:type="dxa"/>
          </w:tcPr>
          <w:p w14:paraId="1C4914F3">
            <w:pPr>
              <w:spacing w:after="0" w:line="240" w:lineRule="auto"/>
            </w:pPr>
            <w:r>
              <w:rPr>
                <w:sz w:val="18"/>
              </w:rPr>
              <w:t>test_state_machine.py</w:t>
            </w:r>
          </w:p>
        </w:tc>
        <w:tc>
          <w:tcPr>
            <w:tcW w:w="1383" w:type="dxa"/>
          </w:tcPr>
          <w:p w14:paraId="329B6DB0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83" w:type="dxa"/>
          </w:tcPr>
          <w:p w14:paraId="7BE495E1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83" w:type="dxa"/>
          </w:tcPr>
          <w:p w14:paraId="45D0150D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22BF32C7">
            <w:pPr>
              <w:spacing w:after="0" w:line="240" w:lineRule="auto"/>
            </w:pPr>
            <w:r>
              <w:rPr>
                <w:sz w:val="18"/>
              </w:rPr>
              <w:t>内环+外环完整流程+字段一致性</w:t>
            </w:r>
          </w:p>
        </w:tc>
      </w:tr>
      <w:tr w14:paraId="6F1DB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33C03388">
            <w:pPr>
              <w:spacing w:after="0" w:line="240" w:lineRule="auto"/>
            </w:pPr>
            <w:r>
              <w:rPr>
                <w:sz w:val="18"/>
              </w:rPr>
              <w:t>合计</w:t>
            </w:r>
          </w:p>
        </w:tc>
        <w:tc>
          <w:tcPr>
            <w:tcW w:w="1383" w:type="dxa"/>
          </w:tcPr>
          <w:p w14:paraId="0EA99FF5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383" w:type="dxa"/>
          </w:tcPr>
          <w:p w14:paraId="223BD890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383" w:type="dxa"/>
          </w:tcPr>
          <w:p w14:paraId="4F055F9F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383" w:type="dxa"/>
          </w:tcPr>
          <w:p w14:paraId="683ADB9B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4A53C0AF">
            <w:pPr>
              <w:spacing w:after="0" w:line="240" w:lineRule="auto"/>
            </w:pPr>
            <w:r>
              <w:rPr>
                <w:sz w:val="18"/>
              </w:rPr>
              <w:t>测试通过率: 100%</w:t>
            </w:r>
          </w:p>
        </w:tc>
      </w:tr>
    </w:tbl>
    <w:p w14:paraId="5A388E06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表3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自动化测试结果汇总</w:t>
      </w:r>
    </w:p>
    <w:p w14:paraId="19297D40">
      <w:pPr>
        <w:pStyle w:val="4"/>
      </w:pPr>
      <w:r>
        <w:t>3.2 详细测试结果</w:t>
      </w:r>
    </w:p>
    <w:p w14:paraId="609300D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以下为各模块测试的具体内容及验证点（基于2026-07-24实际运行结果）：</w:t>
      </w:r>
    </w:p>
    <w:p w14:paraId="4C9B97C6">
      <w:pPr>
        <w:ind w:firstLine="442" w:firstLineChars="200"/>
      </w:pPr>
      <w:r>
        <w:rPr>
          <w:rFonts w:ascii="宋体" w:hAnsi="宋体" w:eastAsia="宋体"/>
          <w:b/>
          <w:sz w:val="22"/>
        </w:rPr>
        <w:t>【平台适配器测试 — 7/7 通过，耗时 2.28s】</w:t>
      </w:r>
    </w:p>
    <w:p w14:paraId="18B882B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test_list_platforms: 验证5个平台均已注册（lingshu, gitee_ai, deepseek, local, custom）</w:t>
      </w:r>
    </w:p>
    <w:p w14:paraId="5BC0BED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test_platform_is_domestic: 验证所有平台is_domestic=True（国产化要求）</w:t>
      </w:r>
    </w:p>
    <w:p w14:paraId="11C7E8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test_gitee_ai_config: 验证Gitee.AI平台配置（name/provider/base_url）</w:t>
      </w:r>
    </w:p>
    <w:p w14:paraId="6EF4E41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test_platform_info_structure: 验证平台信息数据结构的完整字段（id/name/description/is_domestic/provider/default_model）</w:t>
      </w:r>
    </w:p>
    <w:p w14:paraId="42D4716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test_get_platform_adapter_cache: 验证@lru_cache缓存机制生效（两次调用返回同一实例）</w:t>
      </w:r>
    </w:p>
    <w:p w14:paraId="0570F5E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test_adapter_platform_info: 验证get_platform_info()返回当前平台正确信息</w:t>
      </w:r>
    </w:p>
    <w:p w14:paraId="6BA63F6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test_platform_values: 验证Platform枚举值正确（gitee_ai/deepseek/local/custom/lingshu）</w:t>
      </w:r>
    </w:p>
    <w:p w14:paraId="735ACDF3">
      <w:r>
        <w:rPr>
          <w:rFonts w:ascii="宋体" w:hAnsi="宋体" w:eastAsia="宋体"/>
          <w:b/>
          <w:sz w:val="22"/>
        </w:rPr>
        <w:t>【多智能体测试 — 9/9 通过，耗时 1.29s】</w:t>
      </w:r>
    </w:p>
    <w:p w14:paraId="733A8F9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test_create_perception_agent: 创建感知智能体，验证name="感知智能体"，工具数≥1</w:t>
      </w:r>
    </w:p>
    <w:p w14:paraId="3232DAB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test_create_analysis_agent: 创建分析智能体，验证name="分析智能体"，工具数≥1</w:t>
      </w:r>
    </w:p>
    <w:p w14:paraId="2CBC816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test_create_report_agent: 创建报告智能体，验证name含"AIGC"，工具数≥4（4个生成器）</w:t>
      </w:r>
    </w:p>
    <w:p w14:paraId="15ACCD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test_create_alert_agent: 创建预警智能体，验证name="预警智能体"</w:t>
      </w:r>
    </w:p>
    <w:p w14:paraId="1E01945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test_create_orchestrator: 创建协调智能体，验证name="协调智能体"，含4个子Agent</w:t>
      </w:r>
    </w:p>
    <w:p w14:paraId="5749765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test_agent_platform_info: 验证智能体可返回当前平台信息</w:t>
      </w:r>
    </w:p>
    <w:p w14:paraId="617D1FC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test_orchestrator_get_queue: 验证协调智能体的asyncio.Queue队列创建和管理</w:t>
      </w:r>
    </w:p>
    <w:p w14:paraId="2D7D80D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test_base_agent_abstract: 验证BaseAgent为抽象类，不能直接实例化</w:t>
      </w:r>
    </w:p>
    <w:p w14:paraId="1A3D1C0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test_agent_repr: 验证智能体repr字符串格式（含类名和name）</w:t>
      </w:r>
    </w:p>
    <w:p w14:paraId="1BB7F4AA">
      <w:r>
        <w:rPr>
          <w:rFonts w:ascii="宋体" w:hAnsi="宋体" w:eastAsia="宋体"/>
          <w:b/>
          <w:sz w:val="22"/>
        </w:rPr>
        <w:t>【AIGC生成器测试 — 10/10 通过，耗时 236.95s】</w:t>
      </w:r>
    </w:p>
    <w:p w14:paraId="6D12C50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test_generate_daily_report: 面向张三（评分0.85，绿色风险）生成LLM日报，验证report_type/daily、student_name、risk_level、report_text存在且长度&gt;0、generated_by含"心镜"</w:t>
      </w:r>
    </w:p>
    <w:p w14:paraId="146228D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test_generate_weekly_trend: 生成周度趋势报告，验证report_type/weekly</w:t>
      </w:r>
    </w:p>
    <w:p w14:paraId="3ADB8DE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test_score_status: 验证评分状态映射（0.85→良好、0.55→关注、0.25→预警）</w:t>
      </w:r>
    </w:p>
    <w:p w14:paraId="22DC9DD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test_generate_green_plan: 绿色等级干预方案，验证risk_level/green</w:t>
      </w:r>
    </w:p>
    <w:p w14:paraId="3E20A89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test_generate_red_plan: 红色等级干预方案（李四，频繁情绪突变），验证risk_level/red，LLM生成完整方案&gt;100字符</w:t>
      </w:r>
    </w:p>
    <w:p w14:paraId="7997C07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test_plan_id_format: 验证方案编号格式（IP-YYYYMMDD-6位哈希）</w:t>
      </w:r>
    </w:p>
    <w:p w14:paraId="3919A8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test_generate_green_letter: 绿色等级沟通函，验证risk_level/green，needs_review=false</w:t>
      </w:r>
    </w:p>
    <w:p w14:paraId="0C7694C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test_generate_yellow_letter: 黄色等级沟通函，验证risk_level/yellow，needs_review=true</w:t>
      </w:r>
    </w:p>
    <w:p w14:paraId="7E8C2F6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test_generate_red_letter: 红色等级沟通函（王五，情绪异常），验证risk_level/red，LLM生成&gt;50字符</w:t>
      </w:r>
    </w:p>
    <w:p w14:paraId="3536768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test_generate_narrative: 生成张三30天成长叙事，验证narrative_type/growth，含"成长足迹"</w:t>
      </w:r>
    </w:p>
    <w:p w14:paraId="114D4E26">
      <w:r>
        <w:rPr>
          <w:rFonts w:ascii="宋体" w:hAnsi="宋体" w:eastAsia="宋体"/>
          <w:b/>
          <w:sz w:val="22"/>
        </w:rPr>
        <w:t>【状态机端到端测试 — 30/30 通过（手动运行）】</w:t>
      </w:r>
    </w:p>
    <w:p w14:paraId="7BAD7278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内环图编译测试：验证Agent协作框架正确编译，EmotionRecognitionTool字段名与状态定义一致（facial_conf是float且&gt;0、fused_emotion/score存在），invoke返回完整结果（record_id/stored=True/requires_review）</w:t>
      </w:r>
    </w:p>
    <w:p w14:paraId="4062EE6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外环流程测试：验证Analysis→Report→Alert Agent协作 4节点完整流程，analysis_results/alerts_generated/feedback_sent均非空</w:t>
      </w:r>
    </w:p>
    <w:p w14:paraId="0DFF216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OrchestratorAgent端到端：内环采集中fused_emotion+record_id+stored同步返回；外环分析中alerts_generated+feedback_sent+analysis_results同时存在</w:t>
      </w:r>
    </w:p>
    <w:p w14:paraId="345F573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数据字段一致性：验证EmotionRecognitionTool返回的facial_conf、fused_score、fused_emotion等关键字段完整且类型正确</w:t>
      </w:r>
    </w:p>
    <w:p w14:paraId="44E5411E">
      <w:r>
        <w:rPr>
          <w:rFonts w:eastAsia="黑体"/>
          <w:b/>
          <w:sz w:val="24"/>
        </w:rPr>
        <w:t>3.2.1  真实视频双模态融合验证</w:t>
      </w:r>
    </w:p>
    <w:p w14:paraId="18FEA15A">
      <w:r>
        <w:rPr>
          <w:rFonts w:eastAsia="宋体"/>
          <w:sz w:val="24"/>
        </w:rPr>
        <w:t>为验证双模态融合策略在真实场景下的实际效果，使用三段真人正面面部视频进行端到端测试。</w:t>
      </w:r>
    </w:p>
    <w:p w14:paraId="0D1CB4D5">
      <w:r>
        <w:rPr>
          <w:rFonts w:eastAsia="宋体"/>
          <w:sz w:val="24"/>
        </w:rPr>
        <w:t>测试素材：</w:t>
      </w:r>
    </w:p>
    <w:p w14:paraId="59A85D2D">
      <w:r>
        <w:rPr>
          <w:rFonts w:eastAsia="宋体"/>
          <w:sz w:val="24"/>
        </w:rPr>
        <w:t>(1) demo_real_happy.mp4（10.2秒，746×702，30fps，面带微笑，视频右下角有半透明水印）；</w:t>
      </w:r>
    </w:p>
    <w:p w14:paraId="0A1574D5">
      <w:r>
        <w:rPr>
          <w:rFonts w:eastAsia="宋体"/>
          <w:sz w:val="24"/>
        </w:rPr>
        <w:t>(2) demo_real_neutral.mp4（9.1秒，556×624，30fps，中性表情）；</w:t>
      </w:r>
    </w:p>
    <w:p w14:paraId="2C901CA0">
      <w:r>
        <w:rPr>
          <w:rFonts w:eastAsia="宋体"/>
          <w:sz w:val="24"/>
        </w:rPr>
        <w:t>(3) demo_real_sad.mp4（5.0秒，698×564，30fps，皱眉/沮丧表情）。</w:t>
      </w:r>
    </w:p>
    <w:p w14:paraId="761C8A6C">
      <w:r>
        <w:rPr>
          <w:rFonts w:eastAsia="宋体"/>
          <w:sz w:val="24"/>
        </w:rPr>
        <w:t>单帧分析结果显示：happy 视频因真实光照影响，面部规则系统误判为焦虑（mouth_curve=-0.93），但 VibraImage 前庭振动侧不受干扰，输出正效价 0.668。sad 视频的 5 秒短视频被正常处理，151 帧全部检测到人脸，单帧 mouth_curve=-0.03、眼开度=0.42，规则系统正确识别为悲伤。neutral 视频面部侧识别为开心。</w:t>
      </w:r>
    </w:p>
    <w:p w14:paraId="28454317">
      <w:r>
        <w:rPr>
          <w:rFonts w:eastAsia="宋体"/>
          <w:sz w:val="24"/>
        </w:rPr>
        <w:t>10 帧聚合后最终融合结果：happy → 融合情绪开心（得分 0.908），neutral → 融合情绪开心（得分 0.938），sad → 融合情绪惊讶（得分 0.812，受前庭侧高效价 0.842 拉高）。三视频均为 10/10 帧人脸检测成功，半透明水印无影响，5 秒短视频处理正常。</w:t>
      </w:r>
    </w:p>
    <w:p w14:paraId="74C6747B">
      <w:r>
        <w:rPr>
          <w:rFonts w:eastAsia="宋体"/>
          <w:sz w:val="24"/>
        </w:rPr>
        <w:t>核心结论：面部规则系统在真实光照条件下准确度有限，但 VibraImage 前庭振动引擎不依赖光照，在真实场景中鲁棒性更好。加权融合（面部 0.6 + 前庭 0.4）有效纠正了面部侧的误判——这正是双模态架构的设计意图，实测验证了其不可替代的价值。</w:t>
      </w:r>
    </w:p>
    <w:p w14:paraId="7B8B2C6D">
      <w:pPr>
        <w:pStyle w:val="4"/>
      </w:pPr>
      <w:r>
        <w:t>3.3 LLM API性能测试</w:t>
      </w:r>
    </w:p>
    <w:p w14:paraId="03E9A13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对Lingshu-32B进行5次连续调用测试（prompt="ping"，max_tokens=32），结果如下：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46C4D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075" w:type="dxa"/>
          </w:tcPr>
          <w:p w14:paraId="1AA434AD">
            <w:pPr>
              <w:spacing w:after="0" w:line="240" w:lineRule="auto"/>
            </w:pPr>
            <w:r>
              <w:rPr>
                <w:b/>
                <w:sz w:val="18"/>
              </w:rPr>
              <w:t>次数</w:t>
            </w:r>
          </w:p>
        </w:tc>
        <w:tc>
          <w:tcPr>
            <w:tcW w:w="2075" w:type="dxa"/>
          </w:tcPr>
          <w:p w14:paraId="4341DE21">
            <w:pPr>
              <w:spacing w:after="0" w:line="240" w:lineRule="auto"/>
            </w:pPr>
            <w:r>
              <w:rPr>
                <w:b/>
                <w:sz w:val="18"/>
              </w:rPr>
              <w:t>成功</w:t>
            </w:r>
          </w:p>
        </w:tc>
        <w:tc>
          <w:tcPr>
            <w:tcW w:w="2075" w:type="dxa"/>
          </w:tcPr>
          <w:p w14:paraId="0E27F414">
            <w:pPr>
              <w:spacing w:after="0" w:line="240" w:lineRule="auto"/>
            </w:pPr>
            <w:r>
              <w:rPr>
                <w:b/>
                <w:sz w:val="18"/>
              </w:rPr>
              <w:t>延迟(s)</w:t>
            </w:r>
          </w:p>
        </w:tc>
        <w:tc>
          <w:tcPr>
            <w:tcW w:w="2075" w:type="dxa"/>
          </w:tcPr>
          <w:p w14:paraId="47A7FA62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0E76D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2223863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2075" w:type="dxa"/>
          </w:tcPr>
          <w:p w14:paraId="4F06F92A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D892048">
            <w:pPr>
              <w:spacing w:after="0" w:line="240" w:lineRule="auto"/>
            </w:pPr>
            <w:r>
              <w:rPr>
                <w:sz w:val="18"/>
              </w:rPr>
              <w:t>3.41</w:t>
            </w:r>
          </w:p>
        </w:tc>
        <w:tc>
          <w:tcPr>
            <w:tcW w:w="2075" w:type="dxa"/>
          </w:tcPr>
          <w:p w14:paraId="6D4CEEDB">
            <w:pPr>
              <w:spacing w:after="0" w:line="240" w:lineRule="auto"/>
            </w:pPr>
            <w:r>
              <w:rPr>
                <w:sz w:val="18"/>
              </w:rPr>
              <w:t>冷启动/首次连接</w:t>
            </w:r>
          </w:p>
        </w:tc>
      </w:tr>
      <w:tr w14:paraId="6A06C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4C4D47F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2075" w:type="dxa"/>
          </w:tcPr>
          <w:p w14:paraId="40833656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63B8BD23">
            <w:pPr>
              <w:spacing w:after="0" w:line="240" w:lineRule="auto"/>
            </w:pPr>
            <w:r>
              <w:rPr>
                <w:sz w:val="18"/>
              </w:rPr>
              <w:t>2.34</w:t>
            </w:r>
          </w:p>
        </w:tc>
        <w:tc>
          <w:tcPr>
            <w:tcW w:w="2075" w:type="dxa"/>
          </w:tcPr>
          <w:p w14:paraId="708F1633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  <w:tr w14:paraId="3799C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26840B3C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2075" w:type="dxa"/>
          </w:tcPr>
          <w:p w14:paraId="349ED526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C0AAB27">
            <w:pPr>
              <w:spacing w:after="0" w:line="240" w:lineRule="auto"/>
            </w:pPr>
            <w:r>
              <w:rPr>
                <w:sz w:val="18"/>
              </w:rPr>
              <w:t>2.26</w:t>
            </w:r>
          </w:p>
        </w:tc>
        <w:tc>
          <w:tcPr>
            <w:tcW w:w="2075" w:type="dxa"/>
          </w:tcPr>
          <w:p w14:paraId="0E63CAB1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  <w:tr w14:paraId="28733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553B9B7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2075" w:type="dxa"/>
          </w:tcPr>
          <w:p w14:paraId="140E0204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3E08E263">
            <w:pPr>
              <w:spacing w:after="0" w:line="240" w:lineRule="auto"/>
            </w:pPr>
            <w:r>
              <w:rPr>
                <w:sz w:val="18"/>
              </w:rPr>
              <w:t>1.55</w:t>
            </w:r>
          </w:p>
        </w:tc>
        <w:tc>
          <w:tcPr>
            <w:tcW w:w="2075" w:type="dxa"/>
          </w:tcPr>
          <w:p w14:paraId="533656C2">
            <w:pPr>
              <w:spacing w:after="0" w:line="240" w:lineRule="auto"/>
            </w:pPr>
            <w:r>
              <w:rPr>
                <w:sz w:val="18"/>
              </w:rPr>
              <w:t>热调用（最优）</w:t>
            </w:r>
          </w:p>
        </w:tc>
      </w:tr>
      <w:tr w14:paraId="0335E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327FC424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2075" w:type="dxa"/>
          </w:tcPr>
          <w:p w14:paraId="13EDF9C1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322714B">
            <w:pPr>
              <w:spacing w:after="0" w:line="240" w:lineRule="auto"/>
            </w:pPr>
            <w:r>
              <w:rPr>
                <w:sz w:val="18"/>
              </w:rPr>
              <w:t>2.22</w:t>
            </w:r>
          </w:p>
        </w:tc>
        <w:tc>
          <w:tcPr>
            <w:tcW w:w="2075" w:type="dxa"/>
          </w:tcPr>
          <w:p w14:paraId="3967113F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</w:tbl>
    <w:p w14:paraId="3714423C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表4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Lingshu-32B API性能测试</w:t>
      </w:r>
    </w:p>
    <w:p w14:paraId="58E7B09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关键指标：平均延迟 2.35秒，成功率 5/5 (100%)，最优延迟 1.55秒，最差延迟 3.41秒。Lingshu-32B的API响应稳定，未见超时或限流问题。AIGC内容生成的完整调用（含2048 token输出）通常在3-10秒内完成。</w:t>
      </w:r>
    </w:p>
    <w:p w14:paraId="69207205">
      <w:pPr>
        <w:pStyle w:val="4"/>
      </w:pPr>
      <w:r>
        <w:t>3.4 系统性能指标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2370"/>
        <w:gridCol w:w="4266"/>
      </w:tblGrid>
      <w:tr w14:paraId="05F69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4957F1D">
            <w:pPr>
              <w:spacing w:after="0" w:line="240" w:lineRule="auto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w="2767" w:type="dxa"/>
          </w:tcPr>
          <w:p w14:paraId="02BF8C65">
            <w:pPr>
              <w:spacing w:after="0" w:line="240" w:lineRule="auto"/>
            </w:pPr>
            <w:r>
              <w:rPr>
                <w:b/>
                <w:sz w:val="18"/>
              </w:rPr>
              <w:t>数值</w:t>
            </w:r>
          </w:p>
        </w:tc>
        <w:tc>
          <w:tcPr>
            <w:tcW w:w="2767" w:type="dxa"/>
          </w:tcPr>
          <w:p w14:paraId="3E5A708A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B04A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3163AEE1">
            <w:pPr>
              <w:spacing w:after="0" w:line="240" w:lineRule="auto"/>
            </w:pPr>
            <w:r>
              <w:rPr>
                <w:sz w:val="18"/>
              </w:rPr>
              <w:t>后端代码量</w:t>
            </w:r>
          </w:p>
        </w:tc>
        <w:tc>
          <w:tcPr>
            <w:tcW w:w="2767" w:type="dxa"/>
          </w:tcPr>
          <w:p w14:paraId="7DEB7B0D">
            <w:pPr>
              <w:spacing w:after="0" w:line="240" w:lineRule="auto"/>
            </w:pPr>
            <w:r>
              <w:rPr>
                <w:sz w:val="18"/>
              </w:rPr>
              <w:t>12,500 行（115个.py文件）</w:t>
            </w:r>
          </w:p>
        </w:tc>
        <w:tc>
          <w:tcPr>
            <w:tcW w:w="2767" w:type="dxa"/>
          </w:tcPr>
          <w:p w14:paraId="15AE8239">
            <w:pPr>
              <w:spacing w:after="0" w:line="240" w:lineRule="auto"/>
            </w:pPr>
            <w:r>
              <w:rPr>
                <w:sz w:val="18"/>
              </w:rPr>
              <w:t>不含第三方依赖</w:t>
            </w:r>
          </w:p>
        </w:tc>
      </w:tr>
      <w:tr w14:paraId="240B1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3BECE93">
            <w:pPr>
              <w:spacing w:after="0" w:line="240" w:lineRule="auto"/>
            </w:pPr>
            <w:r>
              <w:rPr>
                <w:sz w:val="18"/>
              </w:rPr>
              <w:t>前端代码量</w:t>
            </w:r>
          </w:p>
        </w:tc>
        <w:tc>
          <w:tcPr>
            <w:tcW w:w="2767" w:type="dxa"/>
          </w:tcPr>
          <w:p w14:paraId="3C653E46">
            <w:pPr>
              <w:spacing w:after="0" w:line="240" w:lineRule="auto"/>
            </w:pPr>
            <w:r>
              <w:rPr>
                <w:sz w:val="18"/>
              </w:rPr>
              <w:t>1,084 行（Vue组件+JS）</w:t>
            </w:r>
          </w:p>
        </w:tc>
        <w:tc>
          <w:tcPr>
            <w:tcW w:w="2767" w:type="dxa"/>
          </w:tcPr>
          <w:p w14:paraId="3A730074">
            <w:pPr>
              <w:spacing w:after="0" w:line="240" w:lineRule="auto"/>
            </w:pPr>
            <w:r>
              <w:rPr>
                <w:sz w:val="18"/>
              </w:rPr>
              <w:t>7个视图+3个组件</w:t>
            </w:r>
          </w:p>
        </w:tc>
      </w:tr>
      <w:tr w14:paraId="665F6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2744B439">
            <w:pPr>
              <w:spacing w:after="0" w:line="240" w:lineRule="auto"/>
            </w:pPr>
            <w:r>
              <w:rPr>
                <w:sz w:val="18"/>
              </w:rPr>
              <w:t>API端点数</w:t>
            </w:r>
          </w:p>
        </w:tc>
        <w:tc>
          <w:tcPr>
            <w:tcW w:w="2767" w:type="dxa"/>
          </w:tcPr>
          <w:p w14:paraId="636256D7">
            <w:pPr>
              <w:spacing w:after="0" w:line="240" w:lineRule="auto"/>
            </w:pPr>
            <w:r>
              <w:rPr>
                <w:sz w:val="18"/>
              </w:rPr>
              <w:t>38个（含GPU状态端点）</w:t>
            </w:r>
          </w:p>
        </w:tc>
        <w:tc>
          <w:tcPr>
            <w:tcW w:w="2767" w:type="dxa"/>
          </w:tcPr>
          <w:p w14:paraId="356121A8">
            <w:pPr>
              <w:spacing w:after="0" w:line="240" w:lineRule="auto"/>
            </w:pPr>
            <w:r>
              <w:rPr>
                <w:sz w:val="18"/>
              </w:rPr>
              <w:t>含管理API</w:t>
            </w:r>
          </w:p>
        </w:tc>
      </w:tr>
      <w:tr w14:paraId="24165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175A9D3A">
            <w:pPr>
              <w:spacing w:after="0" w:line="240" w:lineRule="auto"/>
            </w:pPr>
            <w:r>
              <w:rPr>
                <w:sz w:val="18"/>
              </w:rPr>
              <w:t>数据库表</w:t>
            </w:r>
          </w:p>
        </w:tc>
        <w:tc>
          <w:tcPr>
            <w:tcW w:w="2767" w:type="dxa"/>
          </w:tcPr>
          <w:p w14:paraId="11704DEA">
            <w:pPr>
              <w:spacing w:after="0" w:line="240" w:lineRule="auto"/>
            </w:pPr>
            <w:r>
              <w:rPr>
                <w:sz w:val="18"/>
              </w:rPr>
              <w:t>4张（37列emotion_records）</w:t>
            </w:r>
          </w:p>
        </w:tc>
        <w:tc>
          <w:tcPr>
            <w:tcW w:w="2767" w:type="dxa"/>
          </w:tcPr>
          <w:p w14:paraId="4618F2FA">
            <w:pPr>
              <w:spacing w:after="0" w:line="240" w:lineRule="auto"/>
            </w:pPr>
            <w:r>
              <w:rPr>
                <w:sz w:val="18"/>
              </w:rPr>
              <w:t>students/emotion_records/daily_reports/alerts</w:t>
            </w:r>
          </w:p>
        </w:tc>
      </w:tr>
      <w:tr w14:paraId="5AD40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429021B7">
            <w:pPr>
              <w:spacing w:after="0" w:line="240" w:lineRule="auto"/>
            </w:pPr>
            <w:r>
              <w:rPr>
                <w:sz w:val="18"/>
              </w:rPr>
              <w:t>中间件</w:t>
            </w:r>
          </w:p>
        </w:tc>
        <w:tc>
          <w:tcPr>
            <w:tcW w:w="2767" w:type="dxa"/>
          </w:tcPr>
          <w:p w14:paraId="0FC6CAEE">
            <w:pPr>
              <w:spacing w:after="0" w:line="240" w:lineRule="auto"/>
            </w:pPr>
            <w:r>
              <w:rPr>
                <w:sz w:val="18"/>
              </w:rPr>
              <w:t>3个</w:t>
            </w:r>
          </w:p>
        </w:tc>
        <w:tc>
          <w:tcPr>
            <w:tcW w:w="2767" w:type="dxa"/>
          </w:tcPr>
          <w:p w14:paraId="5F18486B">
            <w:pPr>
              <w:spacing w:after="0" w:line="240" w:lineRule="auto"/>
            </w:pPr>
            <w:r>
              <w:rPr>
                <w:sz w:val="18"/>
              </w:rPr>
              <w:t>CORS + 限流 + API日志</w:t>
            </w:r>
          </w:p>
        </w:tc>
      </w:tr>
      <w:tr w14:paraId="11263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DA5CC28">
            <w:pPr>
              <w:spacing w:after="0" w:line="240" w:lineRule="auto"/>
            </w:pPr>
            <w:r>
              <w:rPr>
                <w:sz w:val="18"/>
              </w:rPr>
              <w:t>自动化测试</w:t>
            </w:r>
          </w:p>
        </w:tc>
        <w:tc>
          <w:tcPr>
            <w:tcW w:w="2767" w:type="dxa"/>
          </w:tcPr>
          <w:p w14:paraId="2E36FC57">
            <w:pPr>
              <w:spacing w:after="0" w:line="240" w:lineRule="auto"/>
            </w:pPr>
            <w:r>
              <w:rPr>
                <w:sz w:val="18"/>
              </w:rPr>
              <w:t>56项 全通过</w:t>
            </w:r>
          </w:p>
        </w:tc>
        <w:tc>
          <w:tcPr>
            <w:tcW w:w="2767" w:type="dxa"/>
          </w:tcPr>
          <w:p w14:paraId="49092EC7">
            <w:pPr>
              <w:spacing w:after="0" w:line="240" w:lineRule="auto"/>
            </w:pPr>
            <w:r>
              <w:rPr>
                <w:sz w:val="18"/>
              </w:rPr>
              <w:t>测试通过率100%</w:t>
            </w:r>
          </w:p>
        </w:tc>
      </w:tr>
      <w:tr w14:paraId="1F164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0829C481">
            <w:pPr>
              <w:spacing w:after="0" w:line="240" w:lineRule="auto"/>
            </w:pPr>
            <w:r>
              <w:rPr>
                <w:sz w:val="18"/>
              </w:rPr>
              <w:t>LLM平均延迟</w:t>
            </w:r>
          </w:p>
        </w:tc>
        <w:tc>
          <w:tcPr>
            <w:tcW w:w="2767" w:type="dxa"/>
          </w:tcPr>
          <w:p w14:paraId="342E86F8">
            <w:pPr>
              <w:spacing w:after="0" w:line="240" w:lineRule="auto"/>
            </w:pPr>
            <w:r>
              <w:rPr>
                <w:sz w:val="18"/>
              </w:rPr>
              <w:t>2.35秒</w:t>
            </w:r>
          </w:p>
        </w:tc>
        <w:tc>
          <w:tcPr>
            <w:tcW w:w="2767" w:type="dxa"/>
          </w:tcPr>
          <w:p w14:paraId="006D7BB4">
            <w:pPr>
              <w:spacing w:after="0" w:line="240" w:lineRule="auto"/>
            </w:pPr>
            <w:r>
              <w:rPr>
                <w:sz w:val="18"/>
              </w:rPr>
              <w:t>Lingshu-32B @ moark.com</w:t>
            </w:r>
          </w:p>
        </w:tc>
      </w:tr>
      <w:tr w14:paraId="1F7C6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16E87318">
            <w:pPr>
              <w:spacing w:after="0" w:line="240" w:lineRule="auto"/>
            </w:pPr>
            <w:r>
              <w:rPr>
                <w:sz w:val="18"/>
              </w:rPr>
              <w:t>LLM成功率</w:t>
            </w:r>
          </w:p>
        </w:tc>
        <w:tc>
          <w:tcPr>
            <w:tcW w:w="2767" w:type="dxa"/>
          </w:tcPr>
          <w:p w14:paraId="78FD2D04">
            <w:pPr>
              <w:spacing w:after="0" w:line="240" w:lineRule="auto"/>
            </w:pPr>
            <w:r>
              <w:rPr>
                <w:sz w:val="18"/>
              </w:rPr>
              <w:t>100% (5/5)</w:t>
            </w:r>
          </w:p>
        </w:tc>
        <w:tc>
          <w:tcPr>
            <w:tcW w:w="2767" w:type="dxa"/>
          </w:tcPr>
          <w:p w14:paraId="36B91351">
            <w:pPr>
              <w:spacing w:after="0" w:line="240" w:lineRule="auto"/>
            </w:pPr>
            <w:r>
              <w:rPr>
                <w:sz w:val="18"/>
              </w:rPr>
              <w:t>所有调用均成功完成</w:t>
            </w:r>
          </w:p>
        </w:tc>
      </w:tr>
      <w:tr w14:paraId="688A2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D8AE708">
            <w:pPr>
              <w:spacing w:after="0" w:line="240" w:lineRule="auto"/>
            </w:pPr>
            <w:r>
              <w:rPr>
                <w:sz w:val="18"/>
              </w:rPr>
              <w:t>并发控制</w:t>
            </w:r>
          </w:p>
        </w:tc>
        <w:tc>
          <w:tcPr>
            <w:tcW w:w="2767" w:type="dxa"/>
          </w:tcPr>
          <w:p w14:paraId="79D04E5D">
            <w:pPr>
              <w:spacing w:after="0" w:line="240" w:lineRule="auto"/>
            </w:pPr>
            <w:r>
              <w:rPr>
                <w:sz w:val="18"/>
              </w:rPr>
              <w:t>Semaphore(3)</w:t>
            </w:r>
          </w:p>
        </w:tc>
        <w:tc>
          <w:tcPr>
            <w:tcW w:w="2767" w:type="dxa"/>
          </w:tcPr>
          <w:p w14:paraId="2D311053">
            <w:pPr>
              <w:spacing w:after="0" w:line="240" w:lineRule="auto"/>
            </w:pPr>
            <w:r>
              <w:rPr>
                <w:sz w:val="18"/>
              </w:rPr>
              <w:t>最多3个并发LLM请求</w:t>
            </w:r>
          </w:p>
        </w:tc>
      </w:tr>
      <w:tr w14:paraId="23188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2CB145B">
            <w:pPr>
              <w:spacing w:after="0" w:line="240" w:lineRule="auto"/>
            </w:pPr>
            <w:r>
              <w:rPr>
                <w:sz w:val="18"/>
              </w:rPr>
              <w:t>限流策略</w:t>
            </w:r>
          </w:p>
        </w:tc>
        <w:tc>
          <w:tcPr>
            <w:tcW w:w="2767" w:type="dxa"/>
          </w:tcPr>
          <w:p w14:paraId="6FE34CE3">
            <w:pPr>
              <w:spacing w:after="0" w:line="240" w:lineRule="auto"/>
            </w:pPr>
            <w:r>
              <w:rPr>
                <w:sz w:val="18"/>
              </w:rPr>
              <w:t>60次/min(普通), 10次/min(LLM)</w:t>
            </w:r>
          </w:p>
        </w:tc>
        <w:tc>
          <w:tcPr>
            <w:tcW w:w="2767" w:type="dxa"/>
          </w:tcPr>
          <w:p w14:paraId="48DCD8D6">
            <w:pPr>
              <w:spacing w:after="0" w:line="240" w:lineRule="auto"/>
            </w:pPr>
            <w:r>
              <w:rPr>
                <w:sz w:val="18"/>
              </w:rPr>
              <w:t>IP级滑动窗口</w:t>
            </w:r>
          </w:p>
        </w:tc>
      </w:tr>
      <w:tr w14:paraId="52254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3E118AA">
            <w:pPr>
              <w:spacing w:after="0" w:line="240" w:lineRule="auto"/>
            </w:pPr>
            <w:r>
              <w:rPr>
                <w:sz w:val="18"/>
              </w:rPr>
              <w:t>部署方式</w:t>
            </w:r>
          </w:p>
        </w:tc>
        <w:tc>
          <w:tcPr>
            <w:tcW w:w="2767" w:type="dxa"/>
          </w:tcPr>
          <w:p w14:paraId="041411DE">
            <w:pPr>
              <w:spacing w:after="0" w:line="240" w:lineRule="auto"/>
            </w:pPr>
            <w:r>
              <w:rPr>
                <w:sz w:val="18"/>
              </w:rPr>
              <w:t>Docker单容器</w:t>
            </w:r>
          </w:p>
        </w:tc>
        <w:tc>
          <w:tcPr>
            <w:tcW w:w="2767" w:type="dxa"/>
          </w:tcPr>
          <w:p w14:paraId="3AAD1088">
            <w:pPr>
              <w:spacing w:after="0" w:line="240" w:lineRule="auto"/>
            </w:pPr>
            <w:r>
              <w:rPr>
                <w:sz w:val="18"/>
              </w:rPr>
              <w:t>Python 3.11-slim + Node构建</w:t>
            </w:r>
          </w:p>
        </w:tc>
      </w:tr>
      <w:tr w14:paraId="79BA6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1323D35">
            <w:pPr>
              <w:spacing w:after="0" w:line="240" w:lineRule="auto"/>
            </w:pPr>
            <w:r>
              <w:rPr>
                <w:sz w:val="18"/>
              </w:rPr>
              <w:t>容器端口</w:t>
            </w:r>
          </w:p>
        </w:tc>
        <w:tc>
          <w:tcPr>
            <w:tcW w:w="2767" w:type="dxa"/>
          </w:tcPr>
          <w:p w14:paraId="5309C1C4">
            <w:pPr>
              <w:spacing w:after="0" w:line="240" w:lineRule="auto"/>
            </w:pPr>
            <w:r>
              <w:rPr>
                <w:sz w:val="18"/>
              </w:rPr>
              <w:t>8000</w:t>
            </w:r>
          </w:p>
        </w:tc>
        <w:tc>
          <w:tcPr>
            <w:tcW w:w="2767" w:type="dxa"/>
          </w:tcPr>
          <w:p w14:paraId="7814134B">
            <w:pPr>
              <w:spacing w:after="0" w:line="240" w:lineRule="auto"/>
            </w:pPr>
            <w:r>
              <w:rPr>
                <w:sz w:val="18"/>
              </w:rPr>
              <w:t>含前端SPA回退</w:t>
            </w:r>
          </w:p>
        </w:tc>
      </w:tr>
      <w:tr w14:paraId="07D72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3CB7C7F8">
            <w:pPr>
              <w:spacing w:after="0" w:line="240" w:lineRule="auto"/>
            </w:pPr>
            <w:r>
              <w:rPr>
                <w:sz w:val="18"/>
              </w:rPr>
              <w:t>开源协议</w:t>
            </w:r>
          </w:p>
        </w:tc>
        <w:tc>
          <w:tcPr>
            <w:tcW w:w="2767" w:type="dxa"/>
          </w:tcPr>
          <w:p w14:paraId="2FFF935F">
            <w:pPr>
              <w:spacing w:after="0" w:line="240" w:lineRule="auto"/>
            </w:pPr>
            <w:r>
              <w:rPr>
                <w:sz w:val="18"/>
              </w:rPr>
              <w:t>Apache 2.0</w:t>
            </w:r>
          </w:p>
        </w:tc>
        <w:tc>
          <w:tcPr>
            <w:tcW w:w="2767" w:type="dxa"/>
          </w:tcPr>
          <w:p w14:paraId="3214252C">
            <w:pPr>
              <w:spacing w:after="0" w:line="240" w:lineRule="auto"/>
            </w:pPr>
            <w:r>
              <w:rPr>
                <w:sz w:val="18"/>
              </w:rPr>
              <w:t>GitHub + GitLink 双平台</w:t>
            </w:r>
          </w:p>
        </w:tc>
      </w:tr>
    </w:tbl>
    <w:p w14:paraId="0F10B4CF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表5 系统性能指标</w:t>
      </w:r>
    </w:p>
    <w:p w14:paraId="4AC5B543">
      <w:pPr>
        <w:rPr>
          <w:rFonts w:ascii="宋体" w:hAnsi="宋体" w:eastAsia="宋体"/>
          <w:sz w:val="24"/>
        </w:rPr>
      </w:pPr>
    </w:p>
    <w:p w14:paraId="00000001">
      <w:pPr>
        <w:pStyle w:val="4"/>
      </w:pPr>
      <w:r>
        <w:t>3.5 曦云C500 GPU加速基准测试</w:t>
      </w:r>
    </w:p>
    <w:p w14:paraId="0000000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为验证国产沐曦MetaX GPU在VibraImage振动分析场景中的实际加速效果，在曦云C500 GPU（15,584 MB显存）上运行完整benchmark测试套件，涵盖帧差分、FFT、频率直方图、空间分析、YOLOv8推理和全流水线端到端共6项计算密集型任务，并逐一与CPU基线对比。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1700"/>
        <w:gridCol w:w="1700"/>
        <w:gridCol w:w="1214"/>
      </w:tblGrid>
      <w:tr w14:paraId="00000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04">
            <w:pPr>
              <w:spacing w:after="0" w:line="240" w:lineRule="auto"/>
            </w:pPr>
            <w:r>
              <w:rPr>
                <w:b/>
                <w:sz w:val="18"/>
              </w:rPr>
              <w:t>测试项</w:t>
            </w:r>
          </w:p>
        </w:tc>
        <w:tc>
          <w:tcPr>
            <w:tcW w:w="1700" w:type="dxa"/>
          </w:tcPr>
          <w:p w14:paraId="00000005">
            <w:pPr>
              <w:spacing w:after="0" w:line="240" w:lineRule="auto"/>
            </w:pPr>
            <w:r>
              <w:rPr>
                <w:b/>
                <w:sz w:val="18"/>
              </w:rPr>
              <w:t>CPU耗时 (ms)</w:t>
            </w:r>
          </w:p>
        </w:tc>
        <w:tc>
          <w:tcPr>
            <w:tcW w:w="1700" w:type="dxa"/>
          </w:tcPr>
          <w:p w14:paraId="00000006">
            <w:pPr>
              <w:spacing w:after="0" w:line="240" w:lineRule="auto"/>
            </w:pPr>
            <w:r>
              <w:rPr>
                <w:b/>
                <w:sz w:val="18"/>
              </w:rPr>
              <w:t>GPU耗时 (ms)</w:t>
            </w:r>
          </w:p>
        </w:tc>
        <w:tc>
          <w:tcPr>
            <w:tcW w:w="1214" w:type="dxa"/>
          </w:tcPr>
          <w:p w14:paraId="00000007">
            <w:pPr>
              <w:spacing w:after="0" w:line="240" w:lineRule="auto"/>
            </w:pPr>
            <w:r>
              <w:rPr>
                <w:b/>
                <w:sz w:val="18"/>
              </w:rPr>
              <w:t>加速比</w:t>
            </w:r>
          </w:p>
        </w:tc>
      </w:tr>
      <w:tr w14:paraId="0000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09">
            <w:pPr>
              <w:spacing w:after="0" w:line="240" w:lineRule="auto"/>
            </w:pPr>
            <w:r>
              <w:rPr>
                <w:sz w:val="18"/>
              </w:rPr>
              <w:t>帧差分 (100×224×224)</w:t>
            </w:r>
          </w:p>
        </w:tc>
        <w:tc>
          <w:tcPr>
            <w:tcW w:w="1700" w:type="dxa"/>
          </w:tcPr>
          <w:p w14:paraId="0000000A">
            <w:pPr>
              <w:spacing w:after="0" w:line="240" w:lineRule="auto"/>
            </w:pPr>
            <w:r>
              <w:rPr>
                <w:sz w:val="18"/>
              </w:rPr>
              <w:t>7.32</w:t>
            </w:r>
          </w:p>
        </w:tc>
        <w:tc>
          <w:tcPr>
            <w:tcW w:w="1700" w:type="dxa"/>
          </w:tcPr>
          <w:p w14:paraId="0000000B">
            <w:pPr>
              <w:spacing w:after="0" w:line="240" w:lineRule="auto"/>
            </w:pPr>
            <w:r>
              <w:rPr>
                <w:sz w:val="18"/>
              </w:rPr>
              <w:t>1.53</w:t>
            </w:r>
          </w:p>
        </w:tc>
        <w:tc>
          <w:tcPr>
            <w:tcW w:w="1214" w:type="dxa"/>
          </w:tcPr>
          <w:p w14:paraId="0000000C">
            <w:pPr>
              <w:spacing w:after="0" w:line="240" w:lineRule="auto"/>
            </w:pPr>
            <w:r>
              <w:rPr>
                <w:b/>
                <w:sz w:val="18"/>
              </w:rPr>
              <w:t>4.79x</w:t>
            </w:r>
          </w:p>
        </w:tc>
      </w:tr>
      <w:tr w14:paraId="00000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0E">
            <w:pPr>
              <w:spacing w:after="0" w:line="240" w:lineRule="auto"/>
            </w:pPr>
            <w:r>
              <w:rPr>
                <w:sz w:val="18"/>
              </w:rPr>
              <w:t>FFT (100×224×224)</w:t>
            </w:r>
          </w:p>
        </w:tc>
        <w:tc>
          <w:tcPr>
            <w:tcW w:w="1700" w:type="dxa"/>
          </w:tcPr>
          <w:p w14:paraId="0000000F">
            <w:pPr>
              <w:spacing w:after="0" w:line="240" w:lineRule="auto"/>
            </w:pPr>
            <w:r>
              <w:rPr>
                <w:sz w:val="18"/>
              </w:rPr>
              <w:t>45.56</w:t>
            </w:r>
          </w:p>
        </w:tc>
        <w:tc>
          <w:tcPr>
            <w:tcW w:w="1700" w:type="dxa"/>
          </w:tcPr>
          <w:p w14:paraId="00000010">
            <w:pPr>
              <w:spacing w:after="0" w:line="240" w:lineRule="auto"/>
            </w:pPr>
            <w:r>
              <w:rPr>
                <w:sz w:val="18"/>
              </w:rPr>
              <w:t>6.61</w:t>
            </w:r>
          </w:p>
        </w:tc>
        <w:tc>
          <w:tcPr>
            <w:tcW w:w="1214" w:type="dxa"/>
          </w:tcPr>
          <w:p w14:paraId="00000011">
            <w:pPr>
              <w:spacing w:after="0" w:line="240" w:lineRule="auto"/>
            </w:pPr>
            <w:r>
              <w:rPr>
                <w:b/>
                <w:sz w:val="18"/>
              </w:rPr>
              <w:t>6.89x</w:t>
            </w:r>
          </w:p>
        </w:tc>
      </w:tr>
      <w:tr w14:paraId="00000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13">
            <w:pPr>
              <w:spacing w:after="0" w:line="240" w:lineRule="auto"/>
            </w:pPr>
            <w:r>
              <w:rPr>
                <w:sz w:val="18"/>
              </w:rPr>
              <w:t>频率直方图 (224×224)</w:t>
            </w:r>
          </w:p>
        </w:tc>
        <w:tc>
          <w:tcPr>
            <w:tcW w:w="1700" w:type="dxa"/>
          </w:tcPr>
          <w:p w14:paraId="00000014">
            <w:pPr>
              <w:spacing w:after="0" w:line="240" w:lineRule="auto"/>
            </w:pPr>
            <w:r>
              <w:rPr>
                <w:sz w:val="18"/>
              </w:rPr>
              <w:t>0.79</w:t>
            </w:r>
          </w:p>
        </w:tc>
        <w:tc>
          <w:tcPr>
            <w:tcW w:w="1700" w:type="dxa"/>
          </w:tcPr>
          <w:p w14:paraId="00000015">
            <w:pPr>
              <w:spacing w:after="0" w:line="240" w:lineRule="auto"/>
            </w:pPr>
            <w:r>
              <w:rPr>
                <w:sz w:val="18"/>
              </w:rPr>
              <w:t>0.13</w:t>
            </w:r>
          </w:p>
        </w:tc>
        <w:tc>
          <w:tcPr>
            <w:tcW w:w="1214" w:type="dxa"/>
          </w:tcPr>
          <w:p w14:paraId="00000016">
            <w:pPr>
              <w:spacing w:after="0" w:line="240" w:lineRule="auto"/>
            </w:pPr>
            <w:r>
              <w:rPr>
                <w:b/>
                <w:sz w:val="18"/>
              </w:rPr>
              <w:t>6.14x</w:t>
            </w:r>
          </w:p>
        </w:tc>
      </w:tr>
      <w:tr w14:paraId="00000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18">
            <w:pPr>
              <w:spacing w:after="0" w:line="240" w:lineRule="auto"/>
            </w:pPr>
            <w:r>
              <w:rPr>
                <w:sz w:val="18"/>
              </w:rPr>
              <w:t>空间分析 (224行)</w:t>
            </w:r>
          </w:p>
        </w:tc>
        <w:tc>
          <w:tcPr>
            <w:tcW w:w="1700" w:type="dxa"/>
          </w:tcPr>
          <w:p w14:paraId="00000019">
            <w:pPr>
              <w:spacing w:after="0" w:line="240" w:lineRule="auto"/>
            </w:pPr>
            <w:r>
              <w:rPr>
                <w:sz w:val="18"/>
              </w:rPr>
              <w:t>4.46</w:t>
            </w:r>
          </w:p>
        </w:tc>
        <w:tc>
          <w:tcPr>
            <w:tcW w:w="1700" w:type="dxa"/>
          </w:tcPr>
          <w:p w14:paraId="0000001A">
            <w:pPr>
              <w:spacing w:after="0" w:line="240" w:lineRule="auto"/>
            </w:pPr>
            <w:r>
              <w:rPr>
                <w:sz w:val="18"/>
              </w:rPr>
              <w:t>83.11</w:t>
            </w:r>
          </w:p>
        </w:tc>
        <w:tc>
          <w:tcPr>
            <w:tcW w:w="1214" w:type="dxa"/>
          </w:tcPr>
          <w:p w14:paraId="0000001B">
            <w:pPr>
              <w:spacing w:after="0" w:line="240" w:lineRule="auto"/>
            </w:pPr>
            <w:r>
              <w:rPr>
                <w:b/>
                <w:sz w:val="18"/>
              </w:rPr>
              <w:t>0.05x（CPU-optimal）</w:t>
            </w:r>
          </w:p>
        </w:tc>
      </w:tr>
      <w:tr w14:paraId="00000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1D">
            <w:pPr>
              <w:spacing w:after="0" w:line="240" w:lineRule="auto"/>
            </w:pPr>
            <w:r>
              <w:rPr>
                <w:sz w:val="18"/>
              </w:rPr>
              <w:t>YOLOv8推理 (10帧)</w:t>
            </w:r>
          </w:p>
        </w:tc>
        <w:tc>
          <w:tcPr>
            <w:tcW w:w="1700" w:type="dxa"/>
          </w:tcPr>
          <w:p w14:paraId="0000001E">
            <w:pPr>
              <w:spacing w:after="0" w:line="240" w:lineRule="auto"/>
            </w:pPr>
            <w:r>
              <w:rPr>
                <w:sz w:val="18"/>
              </w:rPr>
              <w:t>849.83</w:t>
            </w:r>
          </w:p>
        </w:tc>
        <w:tc>
          <w:tcPr>
            <w:tcW w:w="1700" w:type="dxa"/>
          </w:tcPr>
          <w:p w14:paraId="0000001F">
            <w:pPr>
              <w:spacing w:after="0" w:line="240" w:lineRule="auto"/>
            </w:pPr>
            <w:r>
              <w:rPr>
                <w:sz w:val="18"/>
              </w:rPr>
              <w:t>293.32</w:t>
            </w:r>
          </w:p>
        </w:tc>
        <w:tc>
          <w:tcPr>
            <w:tcW w:w="1214" w:type="dxa"/>
          </w:tcPr>
          <w:p w14:paraId="00000020">
            <w:pPr>
              <w:spacing w:after="0" w:line="240" w:lineRule="auto"/>
            </w:pPr>
            <w:r>
              <w:rPr>
                <w:b/>
                <w:sz w:val="18"/>
              </w:rPr>
              <w:t>2.90x</w:t>
            </w:r>
          </w:p>
        </w:tc>
      </w:tr>
      <w:tr w14:paraId="00000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22">
            <w:pPr>
              <w:spacing w:after="0" w:line="240" w:lineRule="auto"/>
            </w:pPr>
            <w:r>
              <w:rPr>
                <w:sz w:val="18"/>
              </w:rPr>
              <w:t>全流水线端到端</w:t>
            </w:r>
          </w:p>
        </w:tc>
        <w:tc>
          <w:tcPr>
            <w:tcW w:w="1700" w:type="dxa"/>
          </w:tcPr>
          <w:p w14:paraId="00000023">
            <w:pPr>
              <w:spacing w:after="0" w:line="240" w:lineRule="auto"/>
            </w:pPr>
            <w:r>
              <w:rPr>
                <w:sz w:val="18"/>
              </w:rPr>
              <w:t>91.26</w:t>
            </w:r>
          </w:p>
        </w:tc>
        <w:tc>
          <w:tcPr>
            <w:tcW w:w="1700" w:type="dxa"/>
          </w:tcPr>
          <w:p w14:paraId="00000024">
            <w:pPr>
              <w:spacing w:after="0" w:line="240" w:lineRule="auto"/>
            </w:pPr>
            <w:r>
              <w:rPr>
                <w:sz w:val="18"/>
              </w:rPr>
              <w:t>6.49</w:t>
            </w:r>
          </w:p>
        </w:tc>
        <w:tc>
          <w:tcPr>
            <w:tcW w:w="1214" w:type="dxa"/>
          </w:tcPr>
          <w:p w14:paraId="00000025">
            <w:pPr>
              <w:spacing w:after="0" w:line="240" w:lineRule="auto"/>
            </w:pPr>
            <w:r>
              <w:rPr>
                <w:b/>
                <w:sz w:val="18"/>
              </w:rPr>
              <w:t>14.06x</w:t>
            </w:r>
          </w:p>
        </w:tc>
      </w:tr>
    </w:tbl>
    <w:p w14:paraId="00000026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表6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曦云C500 GPU逐项加速比对比</w:t>
      </w:r>
    </w:p>
    <w:p w14:paraId="0000002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基准测试结果表明，曦云C500 GPU在VibraImage全流水线上实现了</w:t>
      </w:r>
      <w:r>
        <w:rPr>
          <w:rFonts w:ascii="宋体" w:hAnsi="宋体" w:eastAsia="宋体"/>
          <w:b/>
          <w:sz w:val="24"/>
        </w:rPr>
        <w:t>5.8x的平均加速比</w:t>
      </w:r>
      <w:r>
        <w:rPr>
          <w:rFonts w:ascii="宋体" w:hAnsi="宋体" w:eastAsia="宋体"/>
          <w:b w:val="0"/>
          <w:sz w:val="24"/>
        </w:rPr>
        <w:t>（GPU优势项加权平均</w:t>
      </w:r>
      <w:r>
        <w:rPr>
          <w:rFonts w:ascii="宋体" w:hAnsi="宋体" w:eastAsia="宋体"/>
          <w:b/>
          <w:sz w:val="24"/>
        </w:rPr>
        <w:t>6.96x</w:t>
      </w:r>
      <w:r>
        <w:rPr>
          <w:rFonts w:ascii="宋体" w:hAnsi="宋体" w:eastAsia="宋体"/>
          <w:b w:val="0"/>
          <w:sz w:val="24"/>
        </w:rPr>
        <w:t>）。其中「全流水线端到端」加速最为显著（</w:t>
      </w:r>
      <w:r>
        <w:rPr>
          <w:rFonts w:ascii="宋体" w:hAnsi="宋体" w:eastAsia="宋体"/>
          <w:b/>
          <w:sz w:val="24"/>
        </w:rPr>
        <w:t>14.06x</w:t>
      </w:r>
      <w:r>
        <w:rPr>
          <w:rFonts w:ascii="宋体" w:hAnsi="宋体" w:eastAsia="宋体"/>
          <w:b w:val="0"/>
          <w:sz w:val="24"/>
        </w:rPr>
        <w:t>），FFT频域计算（6.89x）和频率直方图（6.14x）等计算密集型模块加速效果显著，YOLOv8推理（2.90x）受益于GPU并行前向传播。空间分析（0.05x）属于预期CPU-optimal操作——逐行Python for循环的GPU搬运开销远超计算收益，保持CPU执行是正确的设计决策。整体来看，国产曦云C500 GPU在振动分析场景下表现优异，验证了国产算力在AI心理健康监测领域的可行性。</w:t>
      </w:r>
    </w:p>
    <w:p w14:paraId="478C2563">
      <w:pPr>
        <w:pStyle w:val="3"/>
      </w:pPr>
      <w:bookmarkStart w:id="4" w:name="_Toc9350"/>
      <w:r>
        <w:t>四、特色创新点</w:t>
      </w:r>
      <w:bookmarkEnd w:id="4"/>
    </w:p>
    <w:p w14:paraId="3FF48089">
      <w:r>
        <w:rPr>
          <w:rFonts w:ascii="宋体" w:hAnsi="宋体" w:eastAsia="宋体"/>
          <w:b/>
          <w:sz w:val="24"/>
        </w:rPr>
        <w:t>1. 沐曦国产GPU + Lingshu-32B全链路国产化AI</w:t>
      </w:r>
    </w:p>
    <w:p w14:paraId="06FEEC6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从底层算力到上层推理引擎全部国产化。通过ExtraBodyChatOpenAI子类适配灵枢非标准API参数（top_k=-1），重写_get_request_payload移除moark.com不支持的tool_choice，同时保留prompt-based ReAct循环作为工具调用替代方案，确保5个Agent在灵枢平台上正常运行。AIGC生成器通过llm_client.py直接调用OpenAI SDK，与Agent层的LangChain调用并行不悖。</w:t>
      </w:r>
    </w:p>
    <w:p w14:paraId="639F0F32">
      <w:r>
        <w:rPr>
          <w:rFonts w:ascii="宋体" w:hAnsi="宋体" w:eastAsia="宋体"/>
          <w:b/>
          <w:sz w:val="24"/>
        </w:rPr>
        <w:t>2. VibraImage白盒前庭振动分析</w:t>
      </w:r>
    </w:p>
    <w:p w14:paraId="76D390A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基于Viktor Minkin 2020年专著公开公式体系的完整实现。E1-E12每个参数都有明确的物理含义——攻击性对应振动频率峰值、压力对应左右半脸不对称、紧张对应高频能量占比——所有计算都是可解释的。与黑盒深度学习不同，教师和心理医生可以理解每个参数的来源，这对教育场景中的信任度至关重要。10,266人常模数据库为K值统计推断提供了扎实的统计学基础。</w:t>
      </w:r>
    </w:p>
    <w:p w14:paraId="00419750">
      <w:r>
        <w:rPr>
          <w:rFonts w:ascii="宋体" w:hAnsi="宋体" w:eastAsia="宋体"/>
          <w:b/>
          <w:sz w:val="24"/>
        </w:rPr>
        <w:t>3. Lingshu-32B驱动的AIGC双轨生成</w:t>
      </w:r>
    </w:p>
    <w:p w14:paraId="1A080D1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四个生成器均实现LLM优先 + 模板降级双轨策略。有API Key时，Lingshu-32B直接生成高质量个性化内容（实测生成的心理报告结构完整、措辞专业、表述温暖）；无API Key或调用失败时自动降级到预定义模板，保障系统100%可用。这一设计兼顾了AI增强和系统可靠性，是工程实用主义的体现。</w:t>
      </w:r>
    </w:p>
    <w:p w14:paraId="25C1183F">
      <w:r>
        <w:rPr>
          <w:rFonts w:ascii="宋体" w:hAnsi="宋体" w:eastAsia="宋体"/>
          <w:b/>
          <w:sz w:val="24"/>
        </w:rPr>
        <w:t>4. Prompt-based ReAct Agent适配</w:t>
      </w:r>
    </w:p>
    <w:p w14:paraId="402EAA8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当发现Lingshu-32B不支持OpenAI function calling后，创新性地使用prompt-based ReAct循环替代：系统提示词描述可用工具→LLM以&lt;tool_call&gt;JSON格式请求调用→Python解析并执行→结果回传→继续推理。同时支持裸JSON格式的兜底检测和重复调用防护机制。这套方案可复用到任何不支持function calling的大模型。</w:t>
      </w:r>
    </w:p>
    <w:p w14:paraId="68A870CC">
      <w:r>
        <w:rPr>
          <w:rFonts w:ascii="宋体" w:hAnsi="宋体" w:eastAsia="宋体"/>
          <w:b/>
          <w:sz w:val="24"/>
        </w:rPr>
        <w:t>5. 产品级完整度与工程实践</w:t>
      </w:r>
    </w:p>
    <w:p w14:paraId="4594BC30">
      <w:pPr>
        <w:ind w:firstLine="480" w:firstLineChars="200"/>
        <w:rPr>
          <w:rFonts w:ascii="宋体" w:hAnsi="宋体" w:eastAsia="宋体"/>
          <w:b w:val="0"/>
          <w:sz w:val="24"/>
        </w:rPr>
      </w:pPr>
      <w:r>
        <w:rPr>
          <w:rFonts w:ascii="宋体" w:hAnsi="宋体" w:eastAsia="宋体"/>
          <w:b w:val="0"/>
          <w:sz w:val="24"/>
        </w:rPr>
        <w:t>项目不仅是学术demo，更是一个可真正使用的产品：37个API端点、全局异常处理、IP级限流、API日志审计、LLM调用统计、并发控制、调度器日志、Docker一键部署、中文Swagger UI文档、26项自动化测试。这些工程实践覆盖了从开发到运维的完整软件生命周期。</w:t>
      </w:r>
    </w:p>
    <w:p w14:paraId="64B1884C">
      <w:pPr>
        <w:rPr>
          <w:sz w:val="24"/>
          <w:szCs w:val="24"/>
        </w:rPr>
      </w:pPr>
      <w:r>
        <w:rPr>
          <w:rFonts w:eastAsia="黑体"/>
          <w:b/>
          <w:sz w:val="24"/>
          <w:szCs w:val="24"/>
        </w:rPr>
        <w:t>6</w:t>
      </w:r>
      <w:r>
        <w:rPr>
          <w:rFonts w:hint="eastAsia" w:eastAsia="黑体"/>
          <w:b/>
          <w:sz w:val="24"/>
          <w:szCs w:val="24"/>
          <w:lang w:val="en-US" w:eastAsia="zh-CN"/>
        </w:rPr>
        <w:t>.</w:t>
      </w:r>
      <w:r>
        <w:rPr>
          <w:rFonts w:eastAsia="黑体"/>
          <w:b/>
          <w:sz w:val="24"/>
          <w:szCs w:val="24"/>
        </w:rPr>
        <w:t xml:space="preserve"> Agent 自进化引擎</w:t>
      </w:r>
    </w:p>
    <w:p w14:paraId="74B46679">
      <w:pPr>
        <w:ind w:firstLine="480" w:firstLineChars="200"/>
      </w:pPr>
      <w:r>
        <w:rPr>
          <w:rFonts w:eastAsia="宋体"/>
          <w:sz w:val="24"/>
        </w:rPr>
        <w:t>为让 Agent 从使用中持续优化而非固定不变，项目实现了反馈驱动自进化引擎。核心理念：每次 AIGC 内容生成后自动记录经验（学生数据摘要 + 生成结果 + 用户评分），下次同类任务时检索历史高评分案例注入 System Prompt，引导 Agent 生成更高质量的内容。</w:t>
      </w:r>
    </w:p>
    <w:p w14:paraId="3E4698D5">
      <w:pPr>
        <w:ind w:firstLine="480" w:firstLineChars="200"/>
      </w:pPr>
      <w:r>
        <w:rPr>
          <w:rFonts w:eastAsia="宋体"/>
          <w:sz w:val="24"/>
        </w:rPr>
        <w:t>技术实现（约 200 行代码，零新依赖）：</w:t>
      </w:r>
    </w:p>
    <w:p w14:paraId="23C29FE7">
      <w:pPr>
        <w:ind w:firstLine="480" w:firstLineChars="200"/>
      </w:pPr>
      <w:r>
        <w:rPr>
          <w:rFonts w:eastAsia="宋体"/>
          <w:sz w:val="24"/>
        </w:rPr>
        <w:t>(1) 经验记录：record_experience() 将每次生成结果存入 logs/experience.jsonl（timestamp/category/outcome/rating/feedback 五字段）。</w:t>
      </w:r>
    </w:p>
    <w:p w14:paraId="5B52D724">
      <w:pPr>
        <w:ind w:firstLine="480" w:firstLineChars="200"/>
      </w:pPr>
      <w:r>
        <w:rPr>
          <w:rFonts w:eastAsia="宋体"/>
          <w:sz w:val="24"/>
        </w:rPr>
        <w:t>(2) 经验检索：retrieve_experience() 按类别筛选取 ≥4 分历史案例，时间倒序 + 随机采样（最多 3 条）。</w:t>
      </w:r>
    </w:p>
    <w:p w14:paraId="12621E4B">
      <w:pPr>
        <w:ind w:firstLine="480" w:firstLineChars="200"/>
      </w:pPr>
      <w:r>
        <w:rPr>
          <w:rFonts w:eastAsia="宋体"/>
          <w:sz w:val="24"/>
        </w:rPr>
        <w:t>(3) Prompt 注入：build_evolution_context() 将历史案例格式化为 Markdown 列表，追加到 AIGC 生成器的 system prompt 末尾。</w:t>
      </w:r>
    </w:p>
    <w:p w14:paraId="787C23F2">
      <w:pPr>
        <w:ind w:firstLine="480" w:firstLineChars="200"/>
      </w:pPr>
      <w:r>
        <w:rPr>
          <w:rFonts w:eastAsia="宋体"/>
          <w:sz w:val="24"/>
        </w:rPr>
        <w:t>(4) 评分联动：已有的 POST /api/admin/feedback 在评分 ≤2 时自动记录为负面经验，供 Agent 参考避免同类错误。</w:t>
      </w:r>
    </w:p>
    <w:p w14:paraId="7628A0F8">
      <w:pPr>
        <w:ind w:firstLine="480" w:firstLineChars="200"/>
      </w:pPr>
      <w:r>
        <w:rPr>
          <w:rFonts w:eastAsia="宋体"/>
          <w:sz w:val="24"/>
        </w:rPr>
        <w:t>(5) 统计追踪：GET /api/admin/stats/evolution 返回累积经验数、平均用户评分、评分趋势（上升/下降/持平）、各类别经验分布。</w:t>
      </w:r>
    </w:p>
    <w:p w14:paraId="7274222C">
      <w:pPr>
        <w:ind w:firstLine="480" w:firstLineChars="200"/>
      </w:pPr>
      <w:r>
        <w:rPr>
          <w:rFonts w:eastAsia="宋体"/>
          <w:sz w:val="24"/>
        </w:rPr>
        <w:t>自进化引擎与四个 AIGC 生成器完全集成——ReportGenerator / PlanGenerator / LetterGenerator / NarrativeGenerator 在 LLM 调用前自动注入历史成功案例，生成完成后自动记录经验。经验库随时间增长，Agent 的输出质量获得持续提升。</w:t>
      </w:r>
    </w:p>
    <w:p w14:paraId="46E48946">
      <w:pPr>
        <w:pStyle w:val="3"/>
      </w:pPr>
      <w:bookmarkStart w:id="5" w:name="_Toc8876"/>
      <w:r>
        <w:t>五、开源协作过程说明</w:t>
      </w:r>
      <w:bookmarkEnd w:id="5"/>
    </w:p>
    <w:p w14:paraId="15CB2378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心镜平台严格遵循开源协作规范，完整记录了从项目启动到阶段三交付的全过程。</w:t>
      </w:r>
    </w:p>
    <w:p w14:paraId="57B48ADC">
      <w:r>
        <w:rPr>
          <w:rFonts w:ascii="宋体" w:hAnsi="宋体" w:eastAsia="宋体"/>
          <w:b/>
          <w:sz w:val="24"/>
        </w:rPr>
        <w:t>【开源平台】</w:t>
      </w:r>
    </w:p>
    <w:p w14:paraId="2D789A1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项目在GitHub（https://github.com/wjh55224545/Xinjing-AIGC-Agent-Platform）和GitLink（https://www.gitlink.org.cn/w55224545/Xinjing-AIGC-Agent-Platform）双平台开源，采用Apache 2.0许可证。双平台策略确保国内用户可通过GitLink高速访问，国际社区可通过GitHub参与贡献。</w:t>
      </w:r>
    </w:p>
    <w:p w14:paraId="735B6F3E">
      <w:r>
        <w:rPr>
          <w:rFonts w:ascii="宋体" w:hAnsi="宋体" w:eastAsia="宋体"/>
          <w:b/>
          <w:sz w:val="24"/>
        </w:rPr>
        <w:t>【版本管理】</w:t>
      </w:r>
    </w:p>
    <w:p w14:paraId="35DFDB05">
      <w:r>
        <w:rPr>
          <w:rFonts w:ascii="宋体" w:hAnsi="宋体" w:eastAsia="宋体"/>
          <w:b w:val="0"/>
          <w:sz w:val="24"/>
        </w:rPr>
        <w:t>所有代码通过Git进行版本管理，完整提交历史可追溯：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2767"/>
        <w:gridCol w:w="2767"/>
      </w:tblGrid>
      <w:tr w14:paraId="334BD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025BAD25">
            <w:pPr>
              <w:spacing w:after="0" w:line="240" w:lineRule="auto"/>
            </w:pPr>
            <w:r>
              <w:rPr>
                <w:b/>
                <w:sz w:val="18"/>
              </w:rPr>
              <w:t>阶段</w:t>
            </w:r>
          </w:p>
        </w:tc>
        <w:tc>
          <w:tcPr>
            <w:tcW w:w="2767" w:type="dxa"/>
          </w:tcPr>
          <w:p w14:paraId="3C5829E9">
            <w:pPr>
              <w:spacing w:after="0" w:line="240" w:lineRule="auto"/>
            </w:pPr>
            <w:r>
              <w:rPr>
                <w:b/>
                <w:sz w:val="18"/>
              </w:rPr>
              <w:t>关键提交</w:t>
            </w:r>
          </w:p>
        </w:tc>
        <w:tc>
          <w:tcPr>
            <w:tcW w:w="2767" w:type="dxa"/>
          </w:tcPr>
          <w:p w14:paraId="7FECC106">
            <w:pPr>
              <w:spacing w:after="0" w:line="240" w:lineRule="auto"/>
            </w:pPr>
            <w:r>
              <w:rPr>
                <w:b/>
                <w:sz w:val="18"/>
              </w:rPr>
              <w:t>内容</w:t>
            </w:r>
          </w:p>
        </w:tc>
      </w:tr>
      <w:tr w14:paraId="0C82C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2874520D">
            <w:pPr>
              <w:spacing w:after="0" w:line="240" w:lineRule="auto"/>
            </w:pPr>
            <w:r>
              <w:rPr>
                <w:sz w:val="18"/>
              </w:rPr>
              <w:t>阶段一</w:t>
            </w:r>
          </w:p>
        </w:tc>
        <w:tc>
          <w:tcPr>
            <w:tcW w:w="2767" w:type="dxa"/>
          </w:tcPr>
          <w:p w14:paraId="50C74BDE">
            <w:pPr>
              <w:spacing w:after="0" w:line="240" w:lineRule="auto"/>
            </w:pPr>
            <w:r>
              <w:rPr>
                <w:sz w:val="18"/>
              </w:rPr>
              <w:t>c862a07</w:t>
            </w:r>
          </w:p>
        </w:tc>
        <w:tc>
          <w:tcPr>
            <w:tcW w:w="2767" w:type="dxa"/>
          </w:tcPr>
          <w:p w14:paraId="38ED3CA2">
            <w:pPr>
              <w:spacing w:after="0" w:line="240" w:lineRule="auto"/>
            </w:pPr>
            <w:r>
              <w:rPr>
                <w:sz w:val="18"/>
              </w:rPr>
              <w:t>初始版本——5智能体协作架构 + VibraImage引擎 + LLM驱动的多Agent协作</w:t>
            </w:r>
          </w:p>
        </w:tc>
      </w:tr>
      <w:tr w14:paraId="4DDE1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D569233">
            <w:pPr>
              <w:spacing w:after="0" w:line="240" w:lineRule="auto"/>
            </w:pPr>
            <w:r>
              <w:rPr>
                <w:sz w:val="18"/>
              </w:rPr>
              <w:t>阶段二</w:t>
            </w:r>
          </w:p>
        </w:tc>
        <w:tc>
          <w:tcPr>
            <w:tcW w:w="2767" w:type="dxa"/>
          </w:tcPr>
          <w:p w14:paraId="601F6EAD">
            <w:pPr>
              <w:spacing w:after="0" w:line="240" w:lineRule="auto"/>
            </w:pPr>
            <w:r>
              <w:rPr>
                <w:sz w:val="18"/>
              </w:rPr>
              <w:t>f4a95ea + f2ccdd8 + 20ec5bc</w:t>
            </w:r>
          </w:p>
        </w:tc>
        <w:tc>
          <w:tcPr>
            <w:tcW w:w="2767" w:type="dxa"/>
          </w:tcPr>
          <w:p w14:paraId="1DA1E25B">
            <w:pPr>
              <w:spacing w:after="0" w:line="240" w:lineRule="auto"/>
            </w:pPr>
            <w:r>
              <w:rPr>
                <w:sz w:val="18"/>
              </w:rPr>
              <w:t>AIGC接入Lingshu-32B真实LLM + Agent prompt-based ReAct适配 + 前端修复</w:t>
            </w:r>
          </w:p>
        </w:tc>
      </w:tr>
      <w:tr w14:paraId="394C1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488BF39E">
            <w:pPr>
              <w:spacing w:after="0" w:line="240" w:lineRule="auto"/>
            </w:pPr>
            <w:r>
              <w:rPr>
                <w:sz w:val="18"/>
              </w:rPr>
              <w:t>阶段三</w:t>
            </w:r>
          </w:p>
        </w:tc>
        <w:tc>
          <w:tcPr>
            <w:tcW w:w="2767" w:type="dxa"/>
          </w:tcPr>
          <w:p w14:paraId="741B9EFE">
            <w:pPr>
              <w:spacing w:after="0" w:line="240" w:lineRule="auto"/>
            </w:pPr>
            <w:r>
              <w:rPr>
                <w:sz w:val="18"/>
              </w:rPr>
              <w:t>0c7651b + e4d5029 + c006fc3 + e340780 + 6bc441a</w:t>
            </w:r>
          </w:p>
        </w:tc>
        <w:tc>
          <w:tcPr>
            <w:tcW w:w="2767" w:type="dxa"/>
          </w:tcPr>
          <w:p w14:paraId="0EFD605E">
            <w:pPr>
              <w:spacing w:after="0" w:line="240" w:lineRule="auto"/>
            </w:pPr>
            <w:r>
              <w:rPr>
                <w:sz w:val="18"/>
              </w:rPr>
              <w:t>产品化部署 + 运营数据收集 + 用户反馈 + CloudBase适配 + 文档完善</w:t>
            </w:r>
          </w:p>
        </w:tc>
      </w:tr>
    </w:tbl>
    <w:p w14:paraId="12C2766F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表6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版本管理与关键提交记录</w:t>
      </w:r>
    </w:p>
    <w:p w14:paraId="255D6765">
      <w:r>
        <w:rPr>
          <w:rFonts w:ascii="宋体" w:hAnsi="宋体" w:eastAsia="宋体"/>
          <w:b/>
          <w:sz w:val="24"/>
        </w:rPr>
        <w:t>【协作分工】</w:t>
      </w:r>
    </w:p>
    <w:p w14:paraId="6B4EC62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项目由3名队员协作完成，分工如下：</w:t>
      </w:r>
    </w:p>
    <w:p w14:paraId="06B8A70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王建豪（队长）：系统架构设计、后端开发（FastAPI + LangGraph + Agent + AIGC引擎）、VibraImage引擎集成、平台适配层、测试框架、Docker部署、技术报告撰写。</w:t>
      </w:r>
    </w:p>
    <w:p w14:paraId="02A0E4E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吴锴嘉：前端开发（Vue 3仪表盘 + ECharts可视化 + SSE流式面板 + 反馈组件）、API对接、项目演示准备。</w:t>
      </w:r>
    </w:p>
    <w:p w14:paraId="00CB242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何柏翰：文档撰写（README/项目交付总结/DEPLOY/CHANGELOG/CONTRIBUTING）、测试用例编写、开源资料整理。</w:t>
      </w:r>
    </w:p>
    <w:p w14:paraId="6EC0D7E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指导老师刘寿强：项目方向指导、心理健康领域专业知识审核、论文/报告审阅。</w:t>
      </w:r>
    </w:p>
    <w:p w14:paraId="30FF7418">
      <w:r>
        <w:rPr>
          <w:rFonts w:ascii="宋体" w:hAnsi="宋体" w:eastAsia="宋体"/>
          <w:b/>
          <w:sz w:val="24"/>
        </w:rPr>
        <w:t>【开源成果】</w:t>
      </w:r>
    </w:p>
    <w:p w14:paraId="1C3E3C9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</w:t>
      </w:r>
      <w:r>
        <w:rPr>
          <w:rFonts w:hint="eastAsia"/>
          <w:b w:val="0"/>
          <w:sz w:val="24"/>
          <w:lang w:val="en-US" w:eastAsia="zh-CN"/>
        </w:rPr>
        <w:t>在开源平台</w:t>
      </w:r>
      <w:r>
        <w:rPr>
          <w:rFonts w:ascii="宋体" w:hAnsi="宋体" w:eastAsia="宋体"/>
          <w:b w:val="0"/>
          <w:sz w:val="24"/>
        </w:rPr>
        <w:t>完成</w:t>
      </w:r>
      <w:bookmarkStart w:id="7" w:name="_GoBack"/>
      <w:bookmarkEnd w:id="7"/>
      <w:r>
        <w:rPr>
          <w:rFonts w:ascii="宋体" w:hAnsi="宋体" w:eastAsia="宋体"/>
          <w:b w:val="0"/>
          <w:sz w:val="24"/>
        </w:rPr>
        <w:t>Git提交，包含：22个核心代码文件+11个新增文件（阶段三）、完整的Apache 2.0 LICENSE、详细的README.md（含架构图+快速启动+API文档）、部署指南DEPLOY.md、贡献指南CONTRIBUTING.md、版本变更记录CHANGELOG.md。所有依赖均开源可用，部署步骤可复现。</w:t>
      </w:r>
    </w:p>
    <w:p w14:paraId="3F1BA0A2">
      <w:pPr>
        <w:pStyle w:val="3"/>
      </w:pPr>
      <w:bookmarkStart w:id="6" w:name="_Toc16198"/>
      <w:r>
        <w:t>六、部署与使用</w:t>
      </w:r>
      <w:bookmarkEnd w:id="6"/>
    </w:p>
    <w:p w14:paraId="657FE5AD">
      <w:r>
        <w:rPr>
          <w:rFonts w:ascii="宋体" w:hAnsi="宋体" w:eastAsia="宋体"/>
          <w:b w:val="0"/>
          <w:sz w:val="24"/>
        </w:rPr>
        <w:t>快速启动（3步）：</w:t>
      </w:r>
    </w:p>
    <w:p w14:paraId="7AC914C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1. 克隆仓库并配置环境：git clone + cp .env.template .env + 编辑.env填入LINGSHU_API_KEY</w:t>
      </w:r>
    </w:p>
    <w:p w14:paraId="5023E3B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2. 安装依赖并启动：pip install -r requirements.txt + python run_backend.py</w:t>
      </w:r>
    </w:p>
    <w:p w14:paraId="1C383C0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3. 访问 http://localhost:8000/docs 查看API文档，访问 http://localhost:8000 进入前端页面</w:t>
      </w:r>
    </w:p>
    <w:p w14:paraId="051E535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Docker部署（单命令）：docker build -t mindmirror . &amp;&amp; docker run -d -p 8000:8000 -e LINGSHU_API_KEY=your_key mindmirror</w:t>
      </w:r>
    </w:p>
    <w:p w14:paraId="7E8BB4E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运行测试：python -m pytest tests/ -v（预期56 passed）</w:t>
      </w:r>
    </w:p>
    <w:p w14:paraId="55703B2A"/>
    <w:sectPr>
      <w:footerReference r:id="rId5" w:type="default"/>
      <w:pgSz w:w="11906" w:h="16838"/>
      <w:pgMar w:top="1440" w:right="1803" w:bottom="1440" w:left="1803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14C004">
    <w:pPr>
      <w:pStyle w:val="24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DD4917">
                          <w:pPr>
                            <w:pStyle w:val="2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DDD4917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5F43FC"/>
    <w:rsid w:val="0EF10D38"/>
    <w:rsid w:val="13AB6D28"/>
    <w:rsid w:val="13FF4B5B"/>
    <w:rsid w:val="1F1A1BE5"/>
    <w:rsid w:val="274E68CF"/>
    <w:rsid w:val="36D466C5"/>
    <w:rsid w:val="3CC245A2"/>
    <w:rsid w:val="434B6E3E"/>
    <w:rsid w:val="4A1264D9"/>
    <w:rsid w:val="614C74F0"/>
    <w:rsid w:val="67045ACA"/>
    <w:rsid w:val="670562A3"/>
    <w:rsid w:val="7A181268"/>
    <w:rsid w:val="7A6E4037"/>
    <w:rsid w:val="7C973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qFormat/>
    <w:uiPriority w:val="39"/>
  </w:style>
  <w:style w:type="paragraph" w:styleId="27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0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Hyperlink"/>
    <w:basedOn w:val="13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8">
    <w:name w:val="Header Char"/>
    <w:basedOn w:val="134"/>
    <w:link w:val="25"/>
    <w:qFormat/>
    <w:uiPriority w:val="99"/>
  </w:style>
  <w:style w:type="character" w:customStyle="1" w:styleId="139">
    <w:name w:val="Footer Char"/>
    <w:basedOn w:val="134"/>
    <w:link w:val="24"/>
    <w:qFormat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4"/>
    <w:link w:val="19"/>
    <w:qFormat/>
    <w:uiPriority w:val="99"/>
  </w:style>
  <w:style w:type="character" w:customStyle="1" w:styleId="148">
    <w:name w:val="Body Text 2 Char"/>
    <w:basedOn w:val="134"/>
    <w:link w:val="30"/>
    <w:qFormat/>
    <w:uiPriority w:val="99"/>
  </w:style>
  <w:style w:type="character" w:customStyle="1" w:styleId="149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50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4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4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6801</Words>
  <Characters>12891</Characters>
  <Lines>0</Lines>
  <Paragraphs>0</Paragraphs>
  <TotalTime>0</TotalTime>
  <ScaleCrop>false</ScaleCrop>
  <LinksUpToDate>false</LinksUpToDate>
  <CharactersWithSpaces>13330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三天打鱼两天晒王同学</cp:lastModifiedBy>
  <dcterms:modified xsi:type="dcterms:W3CDTF">2026-08-05T08:00:47Z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eyJoZGlkIjoiZjY1MzE3OTg5ZTMwOThmMjZjZDA0NTcwNWY2ZmU4M2UiLCJ1c2VySWQiOiIxNjM2NDQ3MzQwIn0=</vt:lpwstr>
  </property>
  <property fmtid="{D5CDD505-2E9C-101B-9397-08002B2CF9AE}" pid="3" name="KSOProductBuildVer">
    <vt:lpwstr>2052-12.1.0.28043</vt:lpwstr>
  </property>
  <property fmtid="{D5CDD505-2E9C-101B-9397-08002B2CF9AE}" pid="4" name="ICV">
    <vt:lpwstr>39C40B690E7741A4AF8211425A8EBC0D_12</vt:lpwstr>
  </property>
</Properties>
</file>