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70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38"/>
          <w:szCs w:val="38"/>
        </w:rPr>
        <w:t xml:space="preserve">Azure AI Foundry / LiteLLM</w:t>
      </w:r>
    </w:p>
    <w:p>
      <w:pPr>
        <w:spacing w:after="42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34"/>
          <w:szCs w:val="34"/>
        </w:rPr>
        <w:t xml:space="preserve">gpt-5.6-sol 跨订阅扩展带宽方案</w:t>
      </w:r>
    </w:p>
    <w:p>
      <w:pPr>
        <w:spacing w:after="115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客户实施说明书</w:t>
      </w:r>
    </w:p>
    <w:p>
      <w:pPr>
        <w:spacing w:after="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版本：v1.0    日期：2026-07-14</w:t>
      </w:r>
    </w:p>
    <w:p>
      <w:pPr>
        <w:pageBreakBefore/>
      </w:pPr>
    </w:p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1. 结论摘要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现有 gpt-5.6-sol 以 Global Standard 部署在某一订阅、某一区域，15M TPM 是该“订阅 + 区域 + 模型/部署类型”配额池内的容量。新建 Foundry Project，或在同一订阅、同一区域再新建一个资源/部署，均不会额外获得一份独立 15M TPM。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要实质扩容，优先顺序为：申请配额提升；在其他可用区域增加后端；或在新的 Azure 订阅中获得独立配额池并部署同一模型。LiteLLM 可以把多个后端聚合为一个对外模型名，向研发人员提供统一入口。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B9BD5" w:sz="8"/>
              <w:left w:val="single" w:color="B7C9D6" w:sz="4"/>
              <w:bottom w:val="single" w:color="B7C9D6" w:sz="4"/>
              <w:right w:val="single" w:color="B7C9D6" w:sz="4"/>
            </w:tcBorders>
            <w:shd w:fill="D9EAF7" w:color="D9E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8"/>
                <w:sz w:val="20"/>
                <w:szCs w:val="20"/>
              </w:rPr>
              <w:t xml:space="preserve">本方案的关键限制：</w:t>
            </w:r>
            <w:r>
              <w:rPr>
                <w:rFonts w:ascii="Microsoft YaHei" w:cs="Microsoft YaHei" w:eastAsia="Microsoft YaHei" w:hAnsi="Microsoft YaHei"/>
                <w:color w:val="202020"/>
                <w:sz w:val="20"/>
                <w:szCs w:val="20"/>
              </w:rPr>
              <w:t xml:space="preserve">当前仓库的生成脚本将每个模型部署映射到每个 Azure OpenAI 资源。若新增资源只部署 gpt-5.6-sol，而旧资源还承载其他模型，必须先改造为“按模型选择后端”；否则其他模型也可能被路由到新资源并返回 404。</w:t>
            </w:r>
          </w:p>
        </w:tc>
      </w:tr>
    </w:tbl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2. 配额边界：为什么新建 Project 不会增加带宽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0"/>
        <w:gridCol w:w="3400"/>
      </w:tblGrid>
      <w:tr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6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是否新增 Global Standard TPM</w:t>
            </w:r>
          </w:p>
        </w:tc>
      </w:tr>
      <w:tr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Azure AI Foundry Project</w:t>
            </w:r>
          </w:p>
        </w:tc>
        <w:tc>
          <w:tcPr>
            <w:tcW w:type="dxa" w:w="6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组织、治理和访问入口；可连接到 AI 服务资源。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Azure OpenAI / AI Services 资源</w:t>
            </w:r>
          </w:p>
        </w:tc>
        <w:tc>
          <w:tcPr>
            <w:tcW w:type="dxa" w:w="6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承载模型部署与推理端点。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同一订阅、同一区域通常共享同一配额池</w:t>
            </w:r>
          </w:p>
        </w:tc>
      </w:tr>
      <w:tr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模型部署</w:t>
            </w:r>
          </w:p>
        </w:tc>
        <w:tc>
          <w:tcPr>
            <w:tcW w:type="dxa" w:w="6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为模型设置名称、版本和部署类型。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否；只是从所在配额池分配容量</w:t>
            </w:r>
          </w:p>
        </w:tc>
      </w:tr>
      <w:tr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Azure 订阅</w:t>
            </w:r>
          </w:p>
        </w:tc>
        <w:tc>
          <w:tcPr>
            <w:tcW w:type="dxa" w:w="6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计费、权限和配额管理边界。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新订阅拥有独立配额边界，但仍取决于容量/配额获批</w:t>
            </w:r>
          </w:p>
        </w:tc>
      </w:tr>
      <w:tr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Azure 区域</w:t>
            </w:r>
          </w:p>
        </w:tc>
        <w:tc>
          <w:tcPr>
            <w:tcW w:type="dxa" w:w="6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模型可用性和区域配额边界。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同一订阅的不同区域拥有不同区域配额池</w:t>
            </w:r>
          </w:p>
        </w:tc>
      </w:tr>
    </w:tbl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因此，若当前 15M TPM 已成为瓶颈，简单新增 Project 只能改善资源组织，不能增加实际吞吐。20 位研发用户的配额切分、速率限制和预算治理可以在 LiteLLM 层继续实施，但它不能凭空突破后端 Azure 配额。</w:t>
      </w:r>
    </w:p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3. 可选扩容路径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100"/>
        <w:gridCol w:w="3500"/>
      </w:tblGrid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是否增加可用容量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注意事项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申请当前配额池提升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是（获批后）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希望保持单订阅、单区域。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由 Azure 审批，需确认目标模型和 Global Standard 的容量。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同订阅跨区域部署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是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应用可接受跨区域访问或已有多区域架构。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确认 gpt-5.6-sol 在目标区域可用；注意数据驻留与网络延迟。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新订阅部署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是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需获得独立计费/配额边界，或原订阅配额无法提升。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新订阅不代表必然拿到容量；需要订阅创建权限、配额及模型可用性确认。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同订阅同区域新增 Project/资源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否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仅需要隔离项目、权限或资源命名。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不能作为扩带宽方案。</w:t>
            </w:r>
          </w:p>
        </w:tc>
      </w:tr>
    </w:tbl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4. 推荐架构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推荐保留一个 LiteLLM 统一入口（AKS + Managed Identity），并把多个实际模型后端注册到同一个公开模型名 gpt-5.6-sol。调用方无需感知模型实际位于哪个订阅或区域。</w:t>
      </w:r>
    </w:p>
    <w:p>
      <w:pPr>
        <w:spacing w:after="160" w:before="100"/>
      </w:pPr>
      <w:r>
        <w:rPr>
          <w:rFonts w:ascii="Microsoft YaHei" w:cs="Microsoft YaHei" w:eastAsia="Microsoft YaHei" w:hAnsi="Microsoft YaHei"/>
          <w:b/>
          <w:bCs/>
          <w:color w:val="1F4E78"/>
          <w:sz w:val="21"/>
          <w:szCs w:val="21"/>
        </w:rPr>
        <w:t xml:space="preserve">研发用户 / 应用</w:t>
      </w: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  →  </w:t>
      </w:r>
      <w:r>
        <w:rPr>
          <w:rFonts w:ascii="Microsoft YaHei" w:cs="Microsoft YaHei" w:eastAsia="Microsoft YaHei" w:hAnsi="Microsoft YaHei"/>
          <w:b/>
          <w:bCs/>
          <w:color w:val="1F4E78"/>
          <w:sz w:val="21"/>
          <w:szCs w:val="21"/>
        </w:rPr>
        <w:t xml:space="preserve">LiteLLM 统一 API</w:t>
      </w: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  →  </w:t>
      </w: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后端 A：订阅 A、区域 A、gpt-5.6-sol</w:t>
      </w: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  /  </w:t>
      </w: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后端 B：订阅 B 或区域 B、gpt-5.6-sol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00"/>
        <w:gridCol w:w="4500"/>
      </w:tblGrid>
      <w:t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调用方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只调用 LiteLLM 的统一模型名。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不要让研发用户直接绑定某个 Azure 资源。</w:t>
            </w:r>
          </w:p>
        </w:tc>
      </w:tr>
      <w:t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LiteLLM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在 gpt-5.6-sol 的多个同名后端之间选择、重试、记录用量并实施用户级策略。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为用户/团队配置预算、RPM/TPM 限制和可访问模型。</w:t>
            </w:r>
          </w:p>
        </w:tc>
      </w:tr>
      <w:t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Azure 后端</w:t>
            </w:r>
          </w:p>
        </w:tc>
        <w:tc>
          <w:tcPr>
            <w:tcW w:type="dxa" w:w="5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提供实际 TPM 容量。</w:t>
            </w:r>
          </w:p>
        </w:tc>
        <w:tc>
          <w:tcPr>
            <w:tcW w:type="dxa" w:w="4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每个用于该模型的资源都部署 gpt-5.6-sol，并记录部署名、区域、订阅和端点。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5B9BD5" w:sz="8"/>
              <w:left w:val="single" w:color="B7C9D6" w:sz="4"/>
              <w:bottom w:val="single" w:color="B7C9D6" w:sz="4"/>
              <w:right w:val="single" w:color="B7C9D6" w:sz="4"/>
            </w:tcBorders>
            <w:shd w:fill="D9EAF7" w:color="D9E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8"/>
                <w:sz w:val="20"/>
                <w:szCs w:val="20"/>
              </w:rPr>
              <w:t xml:space="preserve">跨订阅权限：</w:t>
            </w:r>
            <w:r>
              <w:rPr>
                <w:rFonts w:ascii="Microsoft YaHei" w:cs="Microsoft YaHei" w:eastAsia="Microsoft YaHei" w:hAnsi="Microsoft YaHei"/>
                <w:color w:val="202020"/>
                <w:sz w:val="20"/>
                <w:szCs w:val="20"/>
              </w:rPr>
              <w:t xml:space="preserve">LiteLLM 所在 AKS 的托管身份需要在每个后端 Azure OpenAI 资源上具有“Cognitive Services OpenAI User”角色。若脚本代为创建角色分配，执行部署脚本的身份还需要相应的 Owner 或 User Access Administrator 权限。建议后端订阅位于同一 Microsoft Entra 租户。</w:t>
            </w:r>
          </w:p>
        </w:tc>
      </w:tr>
    </w:tbl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5. 当前 LiteLLM 路由规则及其影响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当前部署脚本会读取 azure-openai.json，并对“deployments 列表 × resources 列表”生成配置：每个 deployment 都会被写入每一个 Azure OpenAI resource。因此，当同一个公开模型名存在多个后端时，LiteLLM 以 simple-shuffle 在这些同名后端之间选择；配置了重试时，失败请求会在同一模型组内重试。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  <w:gridCol w:w="3700"/>
      </w:tblGrid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情况</w:t>
            </w:r>
          </w:p>
        </w:tc>
        <w:tc>
          <w:tcPr>
            <w:tcW w:type="dxa" w:w="5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当前行为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是否符合扩容目标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所有资源都部署全部模型</w:t>
            </w:r>
          </w:p>
        </w:tc>
        <w:tc>
          <w:tcPr>
            <w:tcW w:type="dxa" w:w="5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脚本生成的组合均有效；同名模型可在多个后端间分流。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符合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新资源只部署 gpt-5.6-sol</w:t>
            </w:r>
          </w:p>
        </w:tc>
        <w:tc>
          <w:tcPr>
            <w:tcW w:type="dxa" w:w="5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脚本仍会把旧模型也写入新资源；调用旧模型可能命中该资源并得到 404。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不符合，须改造脚本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用户明确请求 gpt-5.6-sol</w:t>
            </w:r>
          </w:p>
        </w:tc>
        <w:tc>
          <w:tcPr>
            <w:tcW w:type="dxa" w:w="5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只在 gpt-5.6-sol 的后端组内负载均衡，不会自动改为其他模型。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符合</w:t>
            </w:r>
          </w:p>
        </w:tc>
      </w:tr>
      <w:t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gpt-5.6-sol 全部后端失败</w:t>
            </w:r>
          </w:p>
        </w:tc>
        <w:tc>
          <w:tcPr>
            <w:tcW w:type="dxa" w:w="5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默认不会自动改到语义不同的模型；需显式配置 model fallback。</w:t>
            </w:r>
          </w:p>
        </w:tc>
        <w:tc>
          <w:tcPr>
            <w:tcW w:type="dxa" w:w="3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符合，避免静默换模型</w:t>
            </w:r>
          </w:p>
        </w:tc>
      </w:tr>
    </w:tbl>
    <w:p>
      <w:pPr>
        <w:spacing w:after="120" w:before="0" w:line="300"/>
      </w:pPr>
      <w:r>
        <w:rPr>
          <w:rFonts w:ascii="Microsoft YaHei" w:cs="Microsoft YaHei" w:eastAsia="Microsoft YaHei" w:hAnsi="Microsoft YaHei"/>
          <w:b/>
          <w:bCs/>
          <w:color w:val="1F4E78"/>
          <w:sz w:val="21"/>
          <w:szCs w:val="21"/>
        </w:rPr>
        <w:t xml:space="preserve">建议改造：</w:t>
      </w: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在配置中为每个模型声明其可用 resource 列表。例如 gpt-5.6-sol 只关联资源 A、B；其他模型只关联其实际部署的资源。这样新增只含 gpt-5.6-sol 的订阅后端时，不会影响已有模型。</w:t>
      </w:r>
    </w:p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6. 实施步骤</w:t>
      </w:r>
    </w:p>
    <w:p>
      <w:pPr>
        <w:pStyle w:val="Heading2"/>
        <w:spacing w:after="120" w:before="220"/>
        <w:rPr>
          <w:rFonts w:ascii="Microsoft YaHei" w:cs="Microsoft YaHei" w:eastAsia="Microsoft YaHei" w:hAnsi="Microsoft YaHei"/>
          <w:b/>
          <w:bCs/>
          <w:color w:val="1F4E78"/>
          <w:sz w:val="24"/>
          <w:szCs w:val="24"/>
        </w:rPr>
      </w:pPr>
      <w:r>
        <w:t xml:space="preserve">6.1 事前确认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确认目标订阅已创建且计费状态正常；确认 gpt-5.6-sol 可在目标订阅/区域以 Global Standard 部署；确认所需 TPM 配额与容量。新订阅的配额独立，但不是自动保证可部署或自动获得 15M TPM。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确认端点类型。当前仓库脚本面向 Azure OpenAI 兼容端点（通常为 *.openai.azure.com）。若 gpt-5.6-sol 仅通过 Foundry Models 的 *.services.ai.azure.com / Responses API 使用，需先验证 LiteLLM provider 与脚本是否支持该端点；不要直接把该地址当作现有 Azure OpenAI 后端接入。</w:t>
      </w:r>
    </w:p>
    <w:p>
      <w:pPr>
        <w:pStyle w:val="Heading2"/>
        <w:spacing w:after="120" w:before="220"/>
        <w:rPr>
          <w:rFonts w:ascii="Microsoft YaHei" w:cs="Microsoft YaHei" w:eastAsia="Microsoft YaHei" w:hAnsi="Microsoft YaHei"/>
          <w:b/>
          <w:bCs/>
          <w:color w:val="1F4E78"/>
          <w:sz w:val="24"/>
          <w:szCs w:val="24"/>
        </w:rPr>
      </w:pPr>
      <w:r>
        <w:t xml:space="preserve">6.2 创建后端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1. 在目标订阅和区域创建或选择 Azure OpenAI / AI Services 资源。
2. 部署 gpt-5.6-sol（Global Standard），记录资源名称、资源组、订阅 ID、区域、端点、部署名。
3. 从 Azure 门户核验模型部署可实际推理，而不只显示 Deployment status = Succeeded。</w:t>
      </w:r>
    </w:p>
    <w:p>
      <w:pPr>
        <w:pStyle w:val="Heading2"/>
        <w:spacing w:after="120" w:before="220"/>
        <w:rPr>
          <w:rFonts w:ascii="Microsoft YaHei" w:cs="Microsoft YaHei" w:eastAsia="Microsoft YaHei" w:hAnsi="Microsoft YaHei"/>
          <w:b/>
          <w:bCs/>
          <w:color w:val="1F4E78"/>
          <w:sz w:val="24"/>
          <w:szCs w:val="24"/>
        </w:rPr>
      </w:pPr>
      <w:r>
        <w:t xml:space="preserve">6.3 配置跨订阅访问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1. 保持 AKS 和 LiteLLM 的托管身份不变。
2. 在新后端资源上为该托管身份授予 Cognitive Services OpenAI User。
3. 若使用脚本自动授权，使用具备跨订阅角色分配权限的部署账号执行。
4. 在 azure-openai.json 中新增后端资源条目，并准确填写其 subscription_id、resource_group、resource_name 与 endpoint。</w:t>
      </w:r>
    </w:p>
    <w:p>
      <w:pPr>
        <w:pStyle w:val="Heading2"/>
        <w:spacing w:after="120" w:before="220"/>
        <w:rPr>
          <w:rFonts w:ascii="Microsoft YaHei" w:cs="Microsoft YaHei" w:eastAsia="Microsoft YaHei" w:hAnsi="Microsoft YaHei"/>
          <w:b/>
          <w:bCs/>
          <w:color w:val="1F4E78"/>
          <w:sz w:val="24"/>
          <w:szCs w:val="24"/>
        </w:rPr>
      </w:pPr>
      <w:r>
        <w:t xml:space="preserve">6.4 修改路由配置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若新资源仅含 gpt-5.6-sol，先完成脚本的“按模型选择后端”改造，再重新生成 litellm.config.yaml；不要直接把新资源添加到当前 resources 全局列表。若新资源也部署了所有既有模型，则当前脚本的全组合逻辑可继续使用。</w:t>
      </w:r>
    </w:p>
    <w:p>
      <w:pPr>
        <w:pStyle w:val="Heading2"/>
        <w:spacing w:after="120" w:before="220"/>
        <w:rPr>
          <w:rFonts w:ascii="Microsoft YaHei" w:cs="Microsoft YaHei" w:eastAsia="Microsoft YaHei" w:hAnsi="Microsoft YaHei"/>
          <w:b/>
          <w:bCs/>
          <w:color w:val="1F4E78"/>
          <w:sz w:val="24"/>
          <w:szCs w:val="24"/>
        </w:rPr>
      </w:pPr>
      <w:r>
        <w:t xml:space="preserve">6.5 更新与验证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在承载 AKS 的主订阅上下文中执行现有部署脚本：</w:t>
      </w:r>
    </w:p>
    <w:p>
      <w:pPr>
        <w:spacing w:after="120" w:before="0" w:line="300"/>
        <w:ind w:left="360"/>
      </w:pPr>
      <w:r>
        <w:rPr>
          <w:rFonts w:ascii="Microsoft YaHei" w:cs="Microsoft YaHei" w:eastAsia="Microsoft YaHei" w:hAnsi="Microsoft YaHei"/>
          <w:color w:val="1F4E78"/>
          <w:sz w:val="19"/>
          <w:szCs w:val="19"/>
        </w:rPr>
        <w:t xml:space="preserve">python .\LiteLLM\deploy_mi_aks_litellm.py .\LiteLLM\azure-openai.json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脚本会更新 LiteLLM 配置和相关角色分配；AKS、PostgreSQL 与 LiteLLM Pod 应恢复 Ready。随后验证 /v1/models、gpt-5.6-sol 调用、请求日志与后端指标，并在高并发测试中观察请求是否实际落到多个后端。</w:t>
      </w:r>
    </w:p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7. 验收清单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• 新后端 gpt-5.6-sol 在 Foundry/Azure 门户和 API 调用中均可用。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• LiteLLM 的托管身份可访问每个后端资源，且不存在 401/403。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• gpt-5.6-sol 的多个后端均能被命中；单个后端 429/5xx 时可按配置重试。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• 只部署 gpt-5.6-sol 的新资源不会收到其他模型请求。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• 用户级 TPM/RPM、预算和模型访问策略按 20 位研发用户的实际分配生效。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rFonts w:ascii="Microsoft YaHei" w:cs="Microsoft YaHei" w:eastAsia="Microsoft YaHei" w:hAnsi="Microsoft YaHei"/>
          <w:color w:val="202020"/>
          <w:sz w:val="21"/>
          <w:szCs w:val="21"/>
        </w:rPr>
        <w:t xml:space="preserve">• 监控中可区分各后端的成功率、429、延迟和消耗的 TPM。</w:t>
      </w:r>
    </w:p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8. 客户需要决策的事项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800"/>
      </w:tblGrid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决策</w:t>
            </w:r>
          </w:p>
        </w:tc>
        <w:tc>
          <w:tcPr>
            <w:tcW w:type="dxa" w:w="8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F4E78" w:color="1F4E7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扩容方式</w:t>
            </w:r>
          </w:p>
        </w:tc>
        <w:tc>
          <w:tcPr>
            <w:tcW w:type="dxa" w:w="8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先向 Azure 申请当前配额提升；若不足，再评估跨区域或新订阅。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区域选择</w:t>
            </w:r>
          </w:p>
        </w:tc>
        <w:tc>
          <w:tcPr>
            <w:tcW w:type="dxa" w:w="8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优先选择满足数据驻留要求且模型有可用容量的区域。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模型范围</w:t>
            </w:r>
          </w:p>
        </w:tc>
        <w:tc>
          <w:tcPr>
            <w:tcW w:type="dxa" w:w="8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5F9FC" w:color="F5F9F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如果新订阅只扩 gpt-5.6-sol，应先实施按模型后端映射改造。</w:t>
            </w:r>
          </w:p>
        </w:tc>
      </w:tr>
      <w:tr>
        <w:tc>
          <w:tcPr>
            <w:tcW w:type="dxa" w:w="3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端点兼容性</w:t>
            </w:r>
          </w:p>
        </w:tc>
        <w:tc>
          <w:tcPr>
            <w:tcW w:type="dxa" w:w="8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color w:val="202020"/>
                <w:sz w:val="18"/>
                <w:szCs w:val="18"/>
              </w:rPr>
              <w:t xml:space="preserve">在投入实施前确认 gpt-5.6-sol 使用 Azure OpenAI 端点，或明确补充 Foundry Models / Responses API 的支持工作。</w:t>
            </w:r>
          </w:p>
        </w:tc>
      </w:tr>
    </w:tbl>
    <w:p>
      <w:pPr>
        <w:pStyle w:val="Heading1"/>
        <w:spacing w:after="120" w:before="300"/>
        <w:rPr>
          <w:rFonts w:ascii="Microsoft YaHei" w:cs="Microsoft YaHei" w:eastAsia="Microsoft YaHei" w:hAnsi="Microsoft YaHei"/>
          <w:b/>
          <w:bCs/>
          <w:color w:val="1F4E78"/>
          <w:sz w:val="30"/>
          <w:szCs w:val="30"/>
        </w:rPr>
      </w:pPr>
      <w:r>
        <w:t xml:space="preserve">9. 参考资料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4E78"/>
          <w:sz w:val="18"/>
          <w:szCs w:val="18"/>
        </w:rPr>
        <w:t xml:space="preserve">Azure OpenAI 配额与限制：https://learn.microsoft.com/azure/foundry/openai/quotas-limits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4E78"/>
          <w:sz w:val="18"/>
          <w:szCs w:val="18"/>
        </w:rPr>
        <w:t xml:space="preserve">Azure OpenAI 配额管理：https://learn.microsoft.com/azure/foundry/openai/how-to/quota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color w:val="1F4E78"/>
          <w:sz w:val="18"/>
          <w:szCs w:val="18"/>
        </w:rPr>
        <w:t xml:space="preserve">创建 Azure 订阅：https://learn.microsoft.com/azure/cost-management-billing/manage/create-subscription</w:t>
      </w:r>
    </w:p>
    <w:sectPr>
      <w:headerReference w:type="default" r:id="rId7"/>
      <w:footerReference w:type="default" r:id="rId8"/>
      <w:pgSz w:w="11906" w:h="16838" w:orient="portrait"/>
      <w:pgMar w:top="11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客户实施说明书  ·  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00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Azure AI Foundry / LiteLLM｜gpt-5.6-sol 跨订阅扩展带宽方案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gpt-5.6-sol 跨订阅扩展带宽方案</dc:title>
  <dc:creator>Codex</dc:creator>
  <dc:description>Azure AI Foundry / LiteLLM 客户实施说明书</dc:description>
  <cp:lastModifiedBy>Un-named</cp:lastModifiedBy>
  <cp:revision>1</cp:revision>
  <dcterms:created xsi:type="dcterms:W3CDTF">2026-07-14T08:31:49.914Z</dcterms:created>
  <dcterms:modified xsi:type="dcterms:W3CDTF">2026-07-14T08:31:49.915Z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