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课程论文内容仅正文不含格式与个人信息"/>
    <w:p>
      <w:pPr>
        <w:pStyle w:val="Heading1"/>
      </w:pPr>
      <w:r>
        <w:t xml:space="preserve">课程论文内容（仅正文，不含格式与个人信息）</w:t>
      </w:r>
    </w:p>
    <w:p>
      <w:pPr>
        <w:pStyle w:val="BlockText"/>
      </w:pPr>
      <w:r>
        <w:t xml:space="preserve">使用说明（非正文，提交前删除）</w:t>
      </w:r>
    </w:p>
    <w:p>
      <w:pPr>
        <w:numPr>
          <w:ilvl w:val="0"/>
          <w:numId w:val="1001"/>
        </w:numPr>
        <w:pStyle w:val="Compact"/>
      </w:pPr>
      <w:r>
        <w:t xml:space="preserve">选题候选：A《刷不完的下一秒：短视频使用对大学生注意力的影响》（推荐：资料足、理论好套、案例多）；B《算法推荐下的信息茧房：议程设置理论的再讨论》（理论性强、难写出新意）；C《从"刷到"到"记住"：短视频平台的知识传播效果》（案例多、需一手数据）。</w:t>
      </w:r>
    </w:p>
    <w:p>
      <w:pPr>
        <w:numPr>
          <w:ilvl w:val="0"/>
          <w:numId w:val="1001"/>
        </w:numPr>
        <w:pStyle w:val="Compact"/>
      </w:pPr>
      <w:r>
        <w:t xml:space="preserve">说明：课程要求 4000 字，本文正文约 3500 字，含摘要与参考文献约 4000 字，可按文末字数分布表增减。</w:t>
      </w:r>
    </w:p>
    <w:p>
      <w:pPr>
        <w:numPr>
          <w:ilvl w:val="0"/>
          <w:numId w:val="1001"/>
        </w:numPr>
        <w:pStyle w:val="Compact"/>
      </w:pPr>
      <w:r>
        <w:t xml:space="preserve">说明：本文为理论分析型论文。若老师要求实证，按 3.2 的访谈提纲补 8–10 人访谈，替换第四节的示例。</w:t>
      </w:r>
    </w:p>
    <w:p>
      <w:pPr>
        <w:numPr>
          <w:ilvl w:val="0"/>
          <w:numId w:val="1001"/>
        </w:numPr>
        <w:pStyle w:val="Compact"/>
      </w:pPr>
      <w:r>
        <w:t xml:space="preserve">说明：参考文献第 10 条为待补条目，提交前需在知网检索后按 GB/T 7714 补全。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短视频已成为大学生日常媒介使用的主要形式。既有讨论多集中在"成瘾"与"自制力"层面，较少解释其背后的传播机制。本文以使用与满足理论、议程设置理论与涵化理论为框架，提出"需求—机制—后果"的分析链条：使用与满足解释使用的起点，议程设置解释平台如何延长使用，涵化理论解释长期使用对现实认知的塑造。研究认为，短视频的核心影响不在于使注意力"变短"，而在于提高了注意力切换的频率、降低了深度加工的启动意愿，并以"停留时长"取代"重要性"成为可见性的分配标准。在此基础上，本文讨论了算法作为新把关人的角色及其局限，并提出应从媒介素养与平台透明度两个层面回应这一问题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：短视频；注意力；使用与满足；议程设置；涵化理论</w:t>
      </w:r>
    </w:p>
    <w:p>
      <w:r>
        <w:pict>
          <v:rect style="width:0;height:1.5pt" o:hralign="center" o:hrstd="t" o:hr="t"/>
        </w:pict>
      </w:r>
    </w:p>
    <w:bookmarkEnd w:id="20"/>
    <w:bookmarkStart w:id="21" w:name="一引言"/>
    <w:p>
      <w:pPr>
        <w:pStyle w:val="Heading2"/>
      </w:pPr>
      <w:r>
        <w:t xml:space="preserve">一、引言</w:t>
      </w:r>
    </w:p>
    <w:p>
      <w:pPr>
        <w:pStyle w:val="FirstParagraph"/>
      </w:pPr>
      <w:r>
        <w:t xml:space="preserve">截至 2026 年，短视频已从一种内容形态转变为多数大学生的默认媒介环境。它嵌入排队、等车、睡前这些"过渡时间"，以极低的启动成本提供即时的情绪回报。与此同时，"注意力涣散""看不进长文""刷完更累"成为普遍的经验描述。</w:t>
      </w:r>
    </w:p>
    <w:p>
      <w:pPr>
        <w:pStyle w:val="BodyText"/>
      </w:pPr>
      <w:r>
        <w:t xml:space="preserve">现有讨论大致分为两类。一类是道德化的批评，把问题归结为个人自制力不足，主张"卸载""限时"；另一类是技术乐观论，强调短视频降低了知识获取门槛，认为问题会被技术与教育自然解决。两类讨论都跳过了一个中间环节：短视频究竟通过什么机制作用于注意力。如果不回答这个问题，无论是谴责还是辩护，都缺少依据。</w:t>
      </w:r>
    </w:p>
    <w:p>
      <w:pPr>
        <w:pStyle w:val="BodyText"/>
      </w:pPr>
      <w:r>
        <w:t xml:space="preserve">本文尝试补上这个环节。研究问题是：短视频通过哪些传播机制影响大学生的注意力结构？为回答这一问题，本文不把注意力理解为一种道德能力，而将其视为有限的认知资源；不把短视频的影响理解为单次说服，而将其置于单次使用、持续使用与长期接触三个时间尺度中考察。</w:t>
      </w:r>
    </w:p>
    <w:p>
      <w:pPr>
        <w:pStyle w:val="BodyText"/>
      </w:pPr>
      <w:r>
        <w:t xml:space="preserve">本文的可能贡献在于：其一，把三个原本分散的效果理论整合为一条可操作的分析链条；其二，指出"注意力变短"这一流行判断并不准确，更准确的说法是"切换频率上升、深度加工意愿下降"；其三，将算法纳入把关人与议程设置的框架中讨论，避免把技术问题道德化。</w:t>
      </w:r>
    </w:p>
    <w:bookmarkEnd w:id="21"/>
    <w:bookmarkStart w:id="26" w:name="二文献综述"/>
    <w:p>
      <w:pPr>
        <w:pStyle w:val="Heading2"/>
      </w:pPr>
      <w:r>
        <w:t xml:space="preserve">二、文献综述</w:t>
      </w:r>
    </w:p>
    <w:bookmarkStart w:id="22" w:name="X35c0c6f848ea30299d0ae35672c9e58454e9de7"/>
    <w:p>
      <w:pPr>
        <w:pStyle w:val="Heading3"/>
      </w:pPr>
      <w:r>
        <w:t xml:space="preserve">2.1 使用与满足：从"受众被动"到"受众主动"</w:t>
      </w:r>
    </w:p>
    <w:p>
      <w:pPr>
        <w:pStyle w:val="FirstParagraph"/>
      </w:pPr>
      <w:r>
        <w:t xml:space="preserve">使用与满足理论由卡茨等人系统提出，核心主张是受众并非等待被击中的靶子，而是带着需求主动选择媒介，以获得认知、情感、个人整合、社会整合与舒解压力等满足。这一转向把研究重心从"媒介对受众做了什么"移到"受众用媒介做什么"。</w:t>
      </w:r>
    </w:p>
    <w:p>
      <w:pPr>
        <w:pStyle w:val="BodyText"/>
      </w:pPr>
      <w:r>
        <w:t xml:space="preserve">该理论的解释力在于贴近日常经验：大学生打开短视频，往往有明确的情境动机——放松、打发时间、怕错过话题。但其局限同样明显。第一，功能主义倾向使它倾向于把一切使用都解释为"满足"，难以区分需求与借口。第二，它过度假定受众的理性与自主，忽视了平台结构对选择的塑造。第三，满足与效果之间的因果关系难以验证，"使用了"不等于"获得了"。</w:t>
      </w:r>
    </w:p>
    <w:bookmarkEnd w:id="22"/>
    <w:bookmarkStart w:id="23" w:name="Xbf2ef75e97d65f575b5233111efa0c4bab45b01"/>
    <w:p>
      <w:pPr>
        <w:pStyle w:val="Heading3"/>
      </w:pPr>
      <w:r>
        <w:t xml:space="preserve">2.2 议程设置：从议题显著性到网络化认知</w:t>
      </w:r>
    </w:p>
    <w:p>
      <w:pPr>
        <w:pStyle w:val="FirstParagraph"/>
      </w:pPr>
      <w:r>
        <w:t xml:space="preserve">议程设置理论源于麦库姆斯与肖的查珀尔希尔研究，最初关注媒介议题与公众议题重要性排序之间的对应关系。其后研究扩展到第二层属性议程，即媒介不仅影响人们"想什么"，也影响人们"怎么想"；第三层网络议程则关注媒介如何将不同议题连接成认知网络。导向需求被用来解释个体差异：与自身相关性越高、不确定性越高，受众越容易接受媒介的议程。</w:t>
      </w:r>
    </w:p>
    <w:p>
      <w:pPr>
        <w:pStyle w:val="BodyText"/>
      </w:pPr>
      <w:r>
        <w:t xml:space="preserve">在新媒体环境中，议程设置的前提发生了变化。传统媒体时代，议程由编辑把关；平台时代，议程由算法与用户行为共同生成。可见性的分配标准从"新闻价值"部分转向"停留时长、完播率与互动率"。这一变化使议程设置更具个体化特征，也更不透明。</w:t>
      </w:r>
    </w:p>
    <w:bookmarkEnd w:id="23"/>
    <w:bookmarkStart w:id="24" w:name="X5990b816c95719524d1c5ad0e9664d7f7956e5a"/>
    <w:p>
      <w:pPr>
        <w:pStyle w:val="Heading3"/>
      </w:pPr>
      <w:r>
        <w:t xml:space="preserve">2.3 涵化理论：长期接触的累积效应</w:t>
      </w:r>
    </w:p>
    <w:p>
      <w:pPr>
        <w:pStyle w:val="FirstParagraph"/>
      </w:pPr>
      <w:r>
        <w:t xml:space="preserve">涵化理论由格伯纳提出，强调电视的长期、重复与整体性接触会培养受众对现实的认知。其核心概念包括主流化、共鸣与文化指标。涵化不关注单条内容的说服效果，而关注符号环境对"什么是正常的"这一判断的塑造。</w:t>
      </w:r>
    </w:p>
    <w:p>
      <w:pPr>
        <w:pStyle w:val="BodyText"/>
      </w:pPr>
      <w:r>
        <w:t xml:space="preserve">将涵化用于短视频需要谨慎。电视的涵化依托相对统一的频道生态，而短视频是高度碎片化与个性化的。因此本文提出"碎片化涵化"的表述：短视频提供的不是一套完整的世界观，而是一种对现实的钝感——看多了夸张冲突与精致生活，会改变个体对"正常"的感知阈值。这一表述仍属假设，需要后续研究检验。</w:t>
      </w:r>
    </w:p>
    <w:bookmarkEnd w:id="24"/>
    <w:bookmarkStart w:id="25" w:name="X766a21805dec3e1bb69f276648c8a7b51fab5b8"/>
    <w:p>
      <w:pPr>
        <w:pStyle w:val="Heading3"/>
      </w:pPr>
      <w:r>
        <w:t xml:space="preserve">2.4 研究缺口</w:t>
      </w:r>
    </w:p>
    <w:p>
      <w:pPr>
        <w:pStyle w:val="FirstParagraph"/>
      </w:pPr>
      <w:r>
        <w:t xml:space="preserve">综上，三类研究分别解释了使用动机、议题显著性与长期认知，但缺少一条把它们串联起来的机制链条；同时，既有研究对"注意力"的测量多依赖使用时长，较少关注切换频率与深度加工意愿。本文尝试在这两点上作出补充。</w:t>
      </w:r>
    </w:p>
    <w:bookmarkEnd w:id="25"/>
    <w:bookmarkEnd w:id="26"/>
    <w:bookmarkStart w:id="29" w:name="三分析框架与研究设计"/>
    <w:p>
      <w:pPr>
        <w:pStyle w:val="Heading2"/>
      </w:pPr>
      <w:r>
        <w:t xml:space="preserve">三、分析框架与研究设计</w:t>
      </w:r>
    </w:p>
    <w:bookmarkStart w:id="27" w:name="X733f73e4031fd8bcdb9bf76058899527a597fc6"/>
    <w:p>
      <w:pPr>
        <w:pStyle w:val="Heading3"/>
      </w:pPr>
      <w:r>
        <w:t xml:space="preserve">3.1 "需求—机制—后果"分析链条</w:t>
      </w:r>
    </w:p>
    <w:p>
      <w:pPr>
        <w:pStyle w:val="FirstParagraph"/>
      </w:pPr>
      <w:r>
        <w:t xml:space="preserve">本文提出如下框架：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需求层（单次）</w:t>
      </w:r>
      <w:r>
        <w:t xml:space="preserve">：使用与满足解释使用起点。大学生带着认知、情感、社交等需求进入平台。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机制层（持续）</w:t>
      </w:r>
      <w:r>
        <w:t xml:space="preserve">：议程设置解释平台如何延长使用。算法通过分配可见性、强调特定属性、连接议题网络，把用户留在信息流中。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后果层（长期）</w:t>
      </w:r>
      <w:r>
        <w:t xml:space="preserve">：涵化理论解释长期接触的累积效应，表现为对现实判断的钝化与注意力的结构性变化。</w:t>
      </w:r>
    </w:p>
    <w:p>
      <w:pPr>
        <w:pStyle w:val="FirstParagraph"/>
      </w:pPr>
      <w:r>
        <w:t xml:space="preserve">三个理论并非简单拼接，而是对应三个时间尺度：单次使用的动机、持续使用的机制、长期接触的后果。这一划分使"为什么开始—为什么停不下—留下什么"成为一条可追问的链条。</w:t>
      </w:r>
    </w:p>
    <w:bookmarkEnd w:id="27"/>
    <w:bookmarkStart w:id="28" w:name="Xc077ae02775cc4008ab67e25c84368de8bf4b4f"/>
    <w:p>
      <w:pPr>
        <w:pStyle w:val="Heading3"/>
      </w:pPr>
      <w:r>
        <w:t xml:space="preserve">3.2 研究方法</w:t>
      </w:r>
    </w:p>
    <w:p>
      <w:pPr>
        <w:pStyle w:val="FirstParagraph"/>
      </w:pPr>
      <w:r>
        <w:t xml:space="preserve">本文以理论分析为主，辅以日常观察。若需转为实证研究，可采用半结构访谈：围绕"最近一次刷短视频的情境""什么时候会停下来""刷完之后的感受""是否知道推荐逻辑"四个问题，招募 8–10 名不同专业、不同使用强度的大学生，访谈结果用于替换第四节的示例材料。受篇幅与条件限制，本文不报告访谈数据，相关判断均为理论推演，需后续研究检验。</w:t>
      </w:r>
    </w:p>
    <w:bookmarkEnd w:id="28"/>
    <w:bookmarkEnd w:id="29"/>
    <w:bookmarkStart w:id="34" w:name="四机制分析"/>
    <w:p>
      <w:pPr>
        <w:pStyle w:val="Heading2"/>
      </w:pPr>
      <w:r>
        <w:t xml:space="preserve">四、机制分析</w:t>
      </w:r>
    </w:p>
    <w:bookmarkStart w:id="30" w:name="X844b1f4e7ea846a7262f3580617fb19936ee837"/>
    <w:p>
      <w:pPr>
        <w:pStyle w:val="Heading3"/>
      </w:pPr>
      <w:r>
        <w:t xml:space="preserve">4.1 需求层：真实需求与替代性满足</w:t>
      </w:r>
    </w:p>
    <w:p>
      <w:pPr>
        <w:pStyle w:val="FirstParagraph"/>
      </w:pPr>
      <w:r>
        <w:t xml:space="preserve">短视频之所以难以戒断，首先因为它满足的是真实需求，而非虚假需求。访谈类研究普遍发现，大学生的使用动机集中在放松、打发过渡时间与避免社交脱节。这些需求本身合理，问题在于满足方式。</w:t>
      </w:r>
    </w:p>
    <w:p>
      <w:pPr>
        <w:pStyle w:val="BodyText"/>
      </w:pPr>
      <w:r>
        <w:t xml:space="preserve">使用与满足理论提醒我们，同一需求可以由不同媒介满足。阅读、运动、面对面交谈同样能满足舒解压力与社会整合的需求，但它们的启动成本更高。短视频的优势不在于满足得更好，而在于满足得更快。当"更快"成为选择标准，其他满足方式就被逐渐挤出。因此，单纯要求个体"少刷"往往失败，因为需求仍在，替代方案却未被提供。</w:t>
      </w:r>
    </w:p>
    <w:bookmarkEnd w:id="30"/>
    <w:bookmarkStart w:id="31" w:name="X469e909d28651ba2cc91bf4fc4b2d68ec151800"/>
    <w:p>
      <w:pPr>
        <w:pStyle w:val="Heading3"/>
      </w:pPr>
      <w:r>
        <w:t xml:space="preserve">4.2 机制层：算法议程与注意力的可见性分配</w:t>
      </w:r>
    </w:p>
    <w:p>
      <w:pPr>
        <w:pStyle w:val="FirstParagraph"/>
      </w:pPr>
      <w:r>
        <w:t xml:space="preserve">平台延长使用的核心手段是可见性分配。传统媒体的议程设置由编辑完成，标准是新闻价值；平台的议程由推荐系统完成，标准是停留与互动。这一转变带来三个后果。</w:t>
      </w:r>
    </w:p>
    <w:p>
      <w:pPr>
        <w:pStyle w:val="BodyText"/>
      </w:pPr>
      <w:r>
        <w:t xml:space="preserve">第一，</w:t>
      </w:r>
      <w:r>
        <w:rPr>
          <w:bCs/>
          <w:b/>
        </w:rPr>
        <w:t xml:space="preserve">议题的个体化</w:t>
      </w:r>
      <w:r>
        <w:t xml:space="preserve">。每个用户看到的是不同的议程，"什么重要"不再是公共判断，而是个人化的推断。第二，</w:t>
      </w:r>
      <w:r>
        <w:rPr>
          <w:bCs/>
          <w:b/>
        </w:rPr>
        <w:t xml:space="preserve">属性的极化</w:t>
      </w:r>
      <w:r>
        <w:t xml:space="preserve">。算法倾向于放大能引发强情绪的属性，如愤怒、焦虑、惊奇，因为这类内容更容易获得互动。第三，</w:t>
      </w:r>
      <w:r>
        <w:rPr>
          <w:bCs/>
          <w:b/>
        </w:rPr>
        <w:t xml:space="preserve">关系的隐匿</w:t>
      </w:r>
      <w:r>
        <w:t xml:space="preserve">。传统议程设置中，受众至少知道"这是媒体选择的"；算法推荐则把选择隐藏在"为你推荐"的自然化表述中，用户难以察觉自己正在接受议程。</w:t>
      </w:r>
    </w:p>
    <w:p>
      <w:pPr>
        <w:pStyle w:val="BodyText"/>
      </w:pPr>
      <w:r>
        <w:t xml:space="preserve">由此可以提出一个判断：算法是新的把关人，但其把关标准从"公共性"转向"可停留性"。这并不意味着算法必然有害，而是说它的目标函数与公共传播的目标并不一致。当"什么能留住你"取代"什么重要"，注意力就被结构性地引向高刺激、低密度的内容。</w:t>
      </w:r>
    </w:p>
    <w:bookmarkEnd w:id="31"/>
    <w:bookmarkStart w:id="32" w:name="Xf23b4b13acfa07c06edad13b465584bd0405d93"/>
    <w:p>
      <w:pPr>
        <w:pStyle w:val="Heading3"/>
      </w:pPr>
      <w:r>
        <w:t xml:space="preserve">4.3 后果层：切换频率与深度加工的衰退</w:t>
      </w:r>
    </w:p>
    <w:p>
      <w:pPr>
        <w:pStyle w:val="FirstParagraph"/>
      </w:pPr>
      <w:r>
        <w:t xml:space="preserve">关于短视频与注意力，流行的说法是"注意力变短了"。这一表述并不准确。注意力并没有物理性地缩短，变化发生在两个更具体的维度。</w:t>
      </w:r>
    </w:p>
    <w:p>
      <w:pPr>
        <w:pStyle w:val="BodyText"/>
      </w:pPr>
      <w:r>
        <w:t xml:space="preserve">其一是</w:t>
      </w:r>
      <w:r>
        <w:rPr>
          <w:bCs/>
          <w:b/>
        </w:rPr>
        <w:t xml:space="preserve">切换频率上升</w:t>
      </w:r>
      <w:r>
        <w:t xml:space="preserve">。当每次滑动都能获得即时反馈，注意力的切换成本被降到极低。长期处于高切换状态，个体会更难以忍受低刺激的持续任务，例如阅读长文、听课、写作。其二是</w:t>
      </w:r>
      <w:r>
        <w:rPr>
          <w:bCs/>
          <w:b/>
        </w:rPr>
        <w:t xml:space="preserve">深度加工的启动意愿下降</w:t>
      </w:r>
      <w:r>
        <w:t xml:space="preserve">。深度加工需要持续的认知投入，而短视频提供的即时满足抬高了"满足阈值"，使需要延迟回报的活动显得缺乏吸引力。</w:t>
      </w:r>
    </w:p>
    <w:p>
      <w:pPr>
        <w:pStyle w:val="BodyText"/>
      </w:pPr>
      <w:r>
        <w:t xml:space="preserve">这正是涵化理论可以介入的地方。长期接触高刺激、碎片化的内容，会改变个体对"正常节奏"的感知：三分钟没有笑点就是无聊，五百字没有结论就是冗长。这种感知变化不是单条视频造成的，而是累积的结果。本文将其称为"碎片化涵化"——它提供的不是世界观，而是对节奏与强度的默认设定。</w:t>
      </w:r>
    </w:p>
    <w:p>
      <w:pPr>
        <w:pStyle w:val="BodyText"/>
      </w:pPr>
      <w:r>
        <w:t xml:space="preserve">需要强调的是，这一机制并不必然导致能力下降。接触不等于效果，关键在于是否存在后续的深度加工。如果短视频只是信息的入口，随后伴随检索、笔记、复述与应用，它完全可以成为有效的学习资源。真正的问题在于，当短视频成为唯一入口时，深度加工就被跳过了。</w:t>
      </w:r>
    </w:p>
    <w:bookmarkEnd w:id="32"/>
    <w:bookmarkStart w:id="33" w:name="X84252af9cfd8db5701a5f266fa0170d536f3c2e"/>
    <w:p>
      <w:pPr>
        <w:pStyle w:val="Heading3"/>
      </w:pPr>
      <w:r>
        <w:t xml:space="preserve">4.4 案例：一个知识类短视频的两种使用路径</w:t>
      </w:r>
    </w:p>
    <w:p>
      <w:pPr>
        <w:pStyle w:val="FirstParagraph"/>
      </w:pPr>
      <w:r>
        <w:t xml:space="preserve">以一条讲解"议程设置"的 90 秒视频为例。路径一：用户看完觉得"懂了"，继续下滑。此时获得的是认知需求的替代性满足，知识点未被纳入原有认知结构，一周后无法复述。路径二：用户看完后暂停，回到教材查阅麦库姆斯的研究，写下三层议程的笔记，并在课程作业中使用。此时短视频充当了入口，深度加工由用户自己完成。</w:t>
      </w:r>
    </w:p>
    <w:p>
      <w:pPr>
        <w:pStyle w:val="BodyText"/>
      </w:pPr>
      <w:r>
        <w:t xml:space="preserve">同一个内容，两种结果，差别不在视频，而在使用路径。这也解释了为什么"短视频有没有营养"的争论长期无解：它把内容质量与使用方式混为一谈。传播学的分析应当区分二者。</w:t>
      </w:r>
    </w:p>
    <w:bookmarkEnd w:id="33"/>
    <w:bookmarkEnd w:id="34"/>
    <w:bookmarkStart w:id="38" w:name="五讨论"/>
    <w:p>
      <w:pPr>
        <w:pStyle w:val="Heading2"/>
      </w:pPr>
      <w:r>
        <w:t xml:space="preserve">五、讨论</w:t>
      </w:r>
    </w:p>
    <w:bookmarkStart w:id="35" w:name="X9ee81f35b412b47fa3c47fd7f8cc30ef0b1028e"/>
    <w:p>
      <w:pPr>
        <w:pStyle w:val="Heading3"/>
      </w:pPr>
      <w:r>
        <w:t xml:space="preserve">5.1 不是"戒断"，而是重建过渡时间</w:t>
      </w:r>
    </w:p>
    <w:p>
      <w:pPr>
        <w:pStyle w:val="FirstParagraph"/>
      </w:pPr>
      <w:r>
        <w:t xml:space="preserve">如果短视频满足的是真实需求，那么以"戒断"为目标的建议注定低效。更可行的方向是重建过渡时间：在等车、排队、睡前这些原本被短视频占据的间隙，提供低门槛的替代方案，例如播客、短阅读、简单的身体活动。关键不是消灭需求，而是增加替代供给。</w:t>
      </w:r>
    </w:p>
    <w:bookmarkEnd w:id="35"/>
    <w:bookmarkStart w:id="36" w:name="Xabc7d01e4b9a7e237348404b2ca2a2fd950cd80"/>
    <w:p>
      <w:pPr>
        <w:pStyle w:val="Heading3"/>
      </w:pPr>
      <w:r>
        <w:t xml:space="preserve">5.2 平台责任与算法透明度</w:t>
      </w:r>
    </w:p>
    <w:p>
      <w:pPr>
        <w:pStyle w:val="FirstParagraph"/>
      </w:pPr>
      <w:r>
        <w:t xml:space="preserve">将问题完全归因于个体，会掩盖平台的设计责任。推荐系统的目标函数决定了它必然倾向于高停留内容。因此，讨论注意力问题不能只谈媒介素养，还要谈算法透明度：用户是否有权知道"为什么给我看这个"，是否有权调整推荐目标。这既是传播伦理问题，也是平台治理问题。</w:t>
      </w:r>
    </w:p>
    <w:bookmarkEnd w:id="36"/>
    <w:bookmarkStart w:id="37" w:name="Xdb9261d075b6f1a37a013db4ce2c3f0ce882266"/>
    <w:p>
      <w:pPr>
        <w:pStyle w:val="Heading3"/>
      </w:pPr>
      <w:r>
        <w:t xml:space="preserve">5.3 理论的适用边界</w:t>
      </w:r>
    </w:p>
    <w:p>
      <w:pPr>
        <w:pStyle w:val="FirstParagraph"/>
      </w:pPr>
      <w:r>
        <w:t xml:space="preserve">本文的三个理论都产生于大众传播时代，其前提在新媒体环境中部分失效。使用与满足假定受众知道自己的需求，但算法可能制造需求；议程设置假定存在公共议程，但算法使议程个体化；涵化假定媒介环境相对统一，但短视频高度碎片化。因此，本文的框架应被理解为一种启发式工具，而非精确的因果模型。理论的修订，需要建立在更细致的实证研究之上。</w:t>
      </w:r>
    </w:p>
    <w:bookmarkEnd w:id="37"/>
    <w:bookmarkEnd w:id="38"/>
    <w:bookmarkStart w:id="39" w:name="六结论与局限"/>
    <w:p>
      <w:pPr>
        <w:pStyle w:val="Heading2"/>
      </w:pPr>
      <w:r>
        <w:t xml:space="preserve">六、结论与局限</w:t>
      </w:r>
    </w:p>
    <w:p>
      <w:pPr>
        <w:pStyle w:val="FirstParagraph"/>
      </w:pPr>
      <w:r>
        <w:t xml:space="preserve">本文提出"需求—机制—后果"的分析链条，认为短视频对大学生注意力的影响主要体现在三个方面：使用起点上的真实需求与替代性满足，使用过程中的算法议程与可见性分配，长期接触中的切换频率上升与深度加工意愿下降。据此，本文主张把"注意力变短"的流行判断修正为"切换频率上升、深度加工衰退"，并把算法视为新的把关人加以讨论。</w:t>
      </w:r>
    </w:p>
    <w:p>
      <w:pPr>
        <w:pStyle w:val="BodyText"/>
      </w:pPr>
      <w:r>
        <w:t xml:space="preserve">本文的局限有三。第一，缺少系统的实证数据，机制判断主要基于理论推演与日常观察。第二，未区分不同内容类型（娱乐、知识、社交）的差异效果。第三，未讨论个体差异，如自我调节能力、既有媒介素养对结果的影响。后续研究可在样本、内容类型与纵向追踪三个方面推进。</w:t>
      </w:r>
    </w:p>
    <w:p>
      <w:r>
        <w:pict>
          <v:rect style="width:0;height:1.5pt" o:hralign="center" o:hrstd="t" o:hr="t"/>
        </w:pict>
      </w:r>
    </w:p>
    <w:bookmarkEnd w:id="39"/>
    <w:bookmarkStart w:id="40" w:name="参考文献"/>
    <w:p>
      <w:pPr>
        <w:pStyle w:val="Heading2"/>
      </w:pPr>
      <w:r>
        <w:t xml:space="preserve">参考文献</w:t>
      </w:r>
    </w:p>
    <w:p>
      <w:pPr>
        <w:pStyle w:val="FirstParagraph"/>
      </w:pPr>
      <w:r>
        <w:t xml:space="preserve">[1] 郭庆光. 传播学教程（第二版）[M]. 北京: 中国人民大学出版社, 2011.</w:t>
      </w:r>
    </w:p>
    <w:p>
      <w:pPr>
        <w:pStyle w:val="BodyText"/>
      </w:pPr>
      <w:r>
        <w:t xml:space="preserve">[2] 刘海龙. 大众传播理论: 范式与流派[M]. 北京: 中国人民大学出版社, 2008.</w:t>
      </w:r>
    </w:p>
    <w:p>
      <w:pPr>
        <w:pStyle w:val="BodyText"/>
      </w:pPr>
      <w:r>
        <w:t xml:space="preserve">[3] 麦库姆斯. 议程设置: 大众媒介与舆论[M]. 郭镇之, 徐培喜, 译. 北京: 北京大学出版社, 2008.</w:t>
      </w:r>
    </w:p>
    <w:p>
      <w:pPr>
        <w:pStyle w:val="BodyText"/>
      </w:pPr>
      <w:r>
        <w:t xml:space="preserve">[4] 诺依曼. 沉默的螺旋: 舆论——我们的社会皮肤[M]. 董璐, 译. 北京: 北京大学出版社, 2013.</w:t>
      </w:r>
    </w:p>
    <w:p>
      <w:pPr>
        <w:pStyle w:val="BodyText"/>
      </w:pPr>
      <w:r>
        <w:t xml:space="preserve">[5] 波兹曼. 娱乐至死[M]. 章艳, 译. 桂林: 广西师范大学出版社, 2011.</w:t>
      </w:r>
    </w:p>
    <w:p>
      <w:pPr>
        <w:pStyle w:val="BodyText"/>
      </w:pPr>
      <w:r>
        <w:t xml:space="preserve">[6] 卡斯特. 网络社会的崛起[M]. 夏铸九, 王志弘, 译. 北京: 社会科学文献出版社, 2001.</w:t>
      </w:r>
    </w:p>
    <w:p>
      <w:pPr>
        <w:pStyle w:val="BodyText"/>
      </w:pPr>
      <w:r>
        <w:t xml:space="preserve">[7] 彭兰. 网络传播概论（第四版）[M]. 北京: 中国人民大学出版社, 2017.</w:t>
      </w:r>
    </w:p>
    <w:p>
      <w:pPr>
        <w:pStyle w:val="BodyText"/>
      </w:pPr>
      <w:r>
        <w:t xml:space="preserve">[8] 桑斯坦. 信息乌托邦[M]. 毕竞悦, 译. 北京: 法律出版社, 2008.</w:t>
      </w:r>
    </w:p>
    <w:p>
      <w:pPr>
        <w:pStyle w:val="BodyText"/>
      </w:pPr>
      <w:r>
        <w:t xml:space="preserve">[9] 舍基. 人人时代: 无组织的组织力量[M]. 胡泳, 沈满琳, 译. 北京: 中国人民大学出版社, 2012.</w:t>
      </w:r>
    </w:p>
    <w:p>
      <w:pPr>
        <w:pStyle w:val="BodyText"/>
      </w:pPr>
      <w:r>
        <w:t xml:space="preserve">[10] 【待补】请在知网以"短视频 注意力 大学生"检索近五年文献，选 1 篇核心期刊论文，按 GB/T 7714 补全作者、题名、刊名、年份、卷期、页码。</w:t>
      </w:r>
    </w:p>
    <w:p>
      <w:r>
        <w:pict>
          <v:rect style="width:0;height:1.5pt" o:hralign="center" o:hrstd="t" o:hr="t"/>
        </w:pict>
      </w:r>
    </w:p>
    <w:bookmarkEnd w:id="40"/>
    <w:bookmarkStart w:id="41" w:name="附字数分布目标-4000-字"/>
    <w:p>
      <w:pPr>
        <w:pStyle w:val="Heading2"/>
      </w:pPr>
      <w:r>
        <w:t xml:space="preserve">附：字数分布（目标 4000 字）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60"/>
        <w:gridCol w:w="2592"/>
        <w:gridCol w:w="5040"/>
      </w:tblGrid>
      <w:tr>
        <w:trPr>
          <w:tblHeader w:val="true"/>
          <w:cantSplit/>
          <w:tblHeader/>
        </w:trPr>
        <w:tc>
          <w:tcPr>
            <w:tcW w:type="dxa" w:w="216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部分</w:t>
            </w:r>
          </w:p>
        </w:tc>
        <w:tc>
          <w:tcPr>
            <w:tcW w:type="dxa" w:w="2592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目标字数</w:t>
            </w:r>
          </w:p>
        </w:tc>
        <w:tc>
          <w:tcPr>
            <w:tcW w:type="dxa" w:w="5040"/>
            <w:shd w:val="clear" w:color="auto" w:fill="1F3A5F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 xml:space="preserve">调整动作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摘要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250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不动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引言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500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补一个具体场景开头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文献综述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900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每个理论补一项国内研究，避免堆砌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分析框架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550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精简框架图说明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机制分析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1200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案例扩为两个，补一个反例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讨论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350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合并 5.2 与 5.3，保留平台治理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结论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250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补一句研究展望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合计</w:t>
            </w:r>
          </w:p>
        </w:tc>
        <w:tc>
          <w:tcPr>
            <w:tcW w:type="dxa" w:w="2592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4000</w:t>
            </w:r>
          </w:p>
        </w:tc>
        <w:tc>
          <w:tcPr>
            <w:tcW w:type="dxa" w:w="5040"/>
          </w:tcPr>
          <w:p>
            <w:pPr>
              <w:pStyle w:val="Compact"/>
              <w:spacing w:after="20" w:line="276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 xml:space="preserve">—</w:t>
            </w:r>
          </w:p>
        </w:tc>
      </w:tr>
    </w:tbl>
    <w:p>
      <w:pPr>
        <w:pStyle w:val="BlockText"/>
      </w:pPr>
      <w:r>
        <w:t xml:space="preserve">提交前请用自己的语言重写全文，补充个人观察与课程案例；直接引用比例控制在 10% 以内。</w:t>
      </w:r>
    </w:p>
    <w:bookmarkEnd w:id="41"/>
    <w:bookmarkEnd w:id="42"/>
    <w:sectPr>
      <w:footerReference w:type="default" r:id="rId9"/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第 </w:t>
    </w:r>
    <w:r>
      <w:rPr>
        <w:color w:val="6B7280"/>
        <w:sz w:val="16"/>
      </w:rPr>
      <w:fldChar w:fldCharType="begin"/>
      <w:instrText xml:space="preserve"> PAGE </w:instrText>
      <w:fldChar w:fldCharType="end"/>
    </w:r>
    <w:r>
      <w:rPr>
        <w:color w:val="6B7280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84" w:lineRule="auto" w:after="100"/>
    </w:pPr>
    <w:rPr>
      <w:rFonts w:ascii="Noto Serif CJK SC" w:hAnsi="Noto Serif CJK SC" w:eastAsia="Noto Serif CJK SC"/>
      <w:color w:val="222A35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2026-10-20T09:08:46Z</dcterms:created>
  <dcterms:modified xsi:type="dcterms:W3CDTF">2026-10-20T09:08:46Z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