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color w:val="666666"/>
          <w:sz w:val="24"/>
          <w:szCs w:val="24"/>
        </w:rPr>
        <w:t xml:space="preserve">Nexora Tech 产品团队</w:t>
      </w:r>
    </w:p>
    <w:p>
      <w:pPr>
        <w:spacing w:after="80"/>
        <w:jc w:val="center"/>
      </w:pPr>
      <w:r>
        <w:rPr>
          <w:b/>
          <w:bCs/>
          <w:color w:val="2F5496"/>
          <w:sz w:val="40"/>
          <w:szCs w:val="40"/>
        </w:rPr>
        <w:t xml:space="preserve">Q4 重点项目规划</w:t>
      </w:r>
    </w:p>
    <w:p>
      <w:pPr>
        <w:jc w:val="center"/>
      </w:pPr>
      <w:r>
        <w:rPr>
          <w:color w:val="666666"/>
          <w:sz w:val="20"/>
          <w:szCs w:val="20"/>
        </w:rPr>
        <w:t xml:space="preserve">规划周期：2026 年 10 月 1 日 — 2026 年 12 月 31 日</w:t>
      </w:r>
    </w:p>
    <w:p>
      <w:pPr>
        <w:jc w:val="center"/>
      </w:pPr>
      <w:r>
        <w:rPr>
          <w:color w:val="666666"/>
          <w:sz w:val="20"/>
          <w:szCs w:val="20"/>
        </w:rPr>
        <w:t xml:space="preserve">编制人：赵军（VP Engineering）  |  协编：苏楠、陈强</w:t>
      </w:r>
    </w:p>
    <w:p>
      <w:pPr>
        <w:jc w:val="center"/>
      </w:pPr>
      <w:r>
        <w:rPr>
          <w:color w:val="666666"/>
          <w:sz w:val="20"/>
          <w:szCs w:val="20"/>
        </w:rPr>
        <w:t xml:space="preserve">版本：v1.0  |  日期：2026-09-28</w:t>
      </w:r>
    </w:p>
    <w:p>
      <w:r>
        <w:rPr>
          <w:sz w:val="20"/>
          <w:szCs w:val="20"/>
        </w:rPr>
        <w:t xml:space="preserve"> </w:t>
      </w:r>
    </w:p>
    <w:p>
      <w:pPr>
        <w:pStyle w:val="Heading1"/>
      </w:pPr>
      <w:r>
        <w:rPr>
          <w:b/>
          <w:bCs/>
          <w:color w:val="2F5496"/>
          <w:sz w:val="32"/>
          <w:szCs w:val="32"/>
        </w:rPr>
        <w:t xml:space="preserve">一、规划概述</w:t>
      </w:r>
    </w:p>
    <w:p>
      <w:pPr>
        <w:spacing w:after="120"/>
      </w:pPr>
      <w:r>
        <w:rPr>
          <w:sz w:val="22"/>
          <w:szCs w:val="22"/>
        </w:rPr>
        <w:t xml:space="preserve">Q4 是 Nexora Tech 产品年度收官与下年蓄力的关键季度。本规划基于 Q3 复盘结论与公司年度战略目标，确定 8 项重点任务，预计投入 3,860 人天，新增预算 186 万元。核心主题为「AI 能力深化、企业级安全合规、生态扩展」三大方向。</w:t>
      </w:r>
    </w:p>
    <w:p>
      <w:pPr>
        <w:pStyle w:val="Heading1"/>
      </w:pPr>
      <w:r>
        <w:rPr>
          <w:b/>
          <w:bCs/>
          <w:color w:val="2F5496"/>
          <w:sz w:val="32"/>
          <w:szCs w:val="32"/>
        </w:rPr>
        <w:t xml:space="preserve">二、Q4 重点任务清单</w:t>
      </w:r>
    </w:p>
    <w:p>
      <w:pPr>
        <w:pStyle w:val="Heading3"/>
      </w:pPr>
      <w:r>
        <w:rPr>
          <w:b/>
          <w:bCs/>
          <w:color w:val="333333"/>
          <w:sz w:val="22"/>
          <w:szCs w:val="22"/>
        </w:rPr>
        <w:t xml:space="preserve">2.1 任务总览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2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type="pct" w:w="12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12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pct" w:w="12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预计工时(人天)</w:t>
            </w:r>
          </w:p>
        </w:tc>
        <w:tc>
          <w:tcPr>
            <w:tcW w:type="pct" w:w="12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pct" w:w="12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pct" w:w="12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依赖关系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RAG 检索准确率专项优化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孙娜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240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Sprint 29-30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10/30 召回率≥92%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Q3 智能摘要遗留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企业级 SSO 单点登录完成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王超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180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Sprint 29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10/20 全量上线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T7 安全审计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AI 写作助手 v3.0（多模态）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孙娜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Sprint 29-32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12/15 灰度发布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T1 RAG 优化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文档协作工作流引擎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陈强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440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Sprint 30-32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12/10 Beta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第三方集成市场扩展（+15 应用）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王超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360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Sprint 29-31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11/30 全部上线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T2 SSO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移动端原生 App 1.0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周敏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680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Sprint 29-32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12/20 试运行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T4 工作流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SOC2 合规认证准备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徐骏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Sprint 29-32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12/25 审计就绪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设计系统 v4 与品牌升级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罗茜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280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Sprint 30-31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11/25 全量切换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合计预计工时：3,020 人天（含跨部门协作预留 840 人天，总计 3,860 人天）。P0 任务 4 项，P1 任务 3 项，P2 任务 1 项。</w:t>
      </w:r>
    </w:p>
    <w:p>
      <w:pPr>
        <w:pStyle w:val="Heading3"/>
      </w:pPr>
      <w:r>
        <w:rPr>
          <w:b/>
          <w:bCs/>
          <w:color w:val="333333"/>
          <w:sz w:val="22"/>
          <w:szCs w:val="22"/>
        </w:rPr>
        <w:t xml:space="preserve">2.2 里程碑时间线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pct" w:w="25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pct" w:w="25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pct" w:w="25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10/20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T2 SSO 全量上线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企业 SSO（SAML/OIDC）生产可用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王超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10/30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T1 RAG 优化完成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召回率≥92%，摘要 P1 缺陷清零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孙娜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11/25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T8 设计系统 v4 切换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组件库 v4 全量替换，品牌视觉统一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罗茜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11/30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T5 集成市场扩展完成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15 个新应用上线，总数达 27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王超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12/10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T4 工作流 Beta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可视化审批工作流引擎 Beta 版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陈强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12/15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T3 AI 写作 v3 灰度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多模态写作助手灰度发布（10% 用户）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孙娜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12/20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T6 移动端试运行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iOS/Android App 1.0 内测试运行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周敏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12/25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T7 SOC2 审计就绪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合规材料齐备，通过预审计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徐骏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pStyle w:val="Heading1"/>
      </w:pPr>
      <w:r>
        <w:rPr>
          <w:b/>
          <w:bCs/>
          <w:color w:val="2F5496"/>
          <w:sz w:val="32"/>
          <w:szCs w:val="32"/>
        </w:rPr>
        <w:t xml:space="preserve">三、资源需求</w:t>
      </w:r>
    </w:p>
    <w:p>
      <w:pPr>
        <w:pStyle w:val="Heading3"/>
      </w:pPr>
      <w:r>
        <w:rPr>
          <w:b/>
          <w:bCs/>
          <w:color w:val="333333"/>
          <w:sz w:val="22"/>
          <w:szCs w:val="22"/>
        </w:rPr>
        <w:t xml:space="preserve">3.1 人力分配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成员</w:t>
            </w:r>
          </w:p>
        </w:tc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 主负责任务</w:t>
            </w:r>
          </w:p>
        </w:tc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投入占比</w:t>
            </w:r>
          </w:p>
        </w:tc>
        <w:tc>
          <w:tcPr>
            <w:tcW w:type="pct" w:w="20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可用容量(人天)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陈强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技术负责人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T4 工作流引擎 + 跨任务协调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刘伟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高级后端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T4 工作流后端 + T3 AI 后端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90%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赵丽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高级前端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T3 AI 写作前端 + T6 移动端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85%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孙娜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数据科学家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T1 RAG + T3 AI 写作 v3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95%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王超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后端工程师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T2 SSO + T5 集成市场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90%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周敏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前端工程师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T6 移动端原生 App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95%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徐骏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DevOps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T7 SOC2 合规 + 基础设施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80%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杨飞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QA 负责人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全任务质量保障 + 混沌演练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85%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苏楠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产品总监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需求管理 + T3/T4 产品规划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50%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黄薇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高级产品经理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T5/T6 产品 + 客户反馈体系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70%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罗茜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UX 设计主管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T8 设计系统 + T3/T6 设计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80%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何成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UI 设计师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T8 组件 + T6 移动端 UI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85%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现有团队 12 名核心成员 Q4 可用容量合计 660 人天，无法覆盖 3,020 人天需求，缺口约 540 人天，需新增 3 名工程师（见 3.2）。</w:t>
      </w:r>
    </w:p>
    <w:p>
      <w:pPr>
        <w:pStyle w:val="Heading3"/>
      </w:pPr>
      <w:r>
        <w:rPr>
          <w:b/>
          <w:bCs/>
          <w:color w:val="333333"/>
          <w:sz w:val="22"/>
          <w:szCs w:val="22"/>
        </w:rPr>
        <w:t xml:space="preserve">3.2 新增人力需求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到位时间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负责任务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年薪(万)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招聘理由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后端工程师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中级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10/15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T4 工作流 + T5 集成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工作流引擎后端负载重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前端工程师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中级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10/15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T6 移动端 + T3 前端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移动端原生开发人力缺口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AI 算法工程师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高级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10/10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T1 RAG + T3 多模态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RAG 优化与多模态需专家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新增 3 人，年薪合计 116 万元（Q4 折算约 29 万元）。招聘由赵军负责，HRBP 配合，目标 10/15 前全部到岗。</w:t>
      </w:r>
    </w:p>
    <w:p>
      <w:pPr>
        <w:pStyle w:val="Heading3"/>
      </w:pPr>
      <w:r>
        <w:rPr>
          <w:b/>
          <w:bCs/>
          <w:color w:val="333333"/>
          <w:sz w:val="22"/>
          <w:szCs w:val="22"/>
        </w:rPr>
        <w:t xml:space="preserve">3.3 预算需求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25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明细</w:t>
            </w:r>
          </w:p>
        </w:tc>
        <w:tc>
          <w:tcPr>
            <w:tcW w:type="pct" w:w="25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金额(万元)</w:t>
            </w:r>
          </w:p>
        </w:tc>
        <w:tc>
          <w:tcPr>
            <w:tcW w:type="pct" w:w="25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人力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新增 3 人 Q4 薪资（3 个月）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29.0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后端36+前端32+AI48，年化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云资源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GPU 集群扩容（A100×4）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T3 多模态训练与推理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云资源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生产环境扩容（Redis/PG）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18.0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T4 工作流 + T5 集成流量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外部服务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SOC2 审计咨询费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35.0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T7 合规认证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外部服务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RAG 标注数据采购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22.0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T1 检索优化训练集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工具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移动端开发设备 + 测试机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15.0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T6 iOS/Android 设备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工具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设计工具与原型平台续费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T8 设计系统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预留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应急预算（10%）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17.0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风险应对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合计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186.0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pStyle w:val="Heading3"/>
      </w:pPr>
      <w:r>
        <w:rPr>
          <w:b/>
          <w:bCs/>
          <w:color w:val="333333"/>
          <w:sz w:val="22"/>
          <w:szCs w:val="22"/>
        </w:rPr>
        <w:t xml:space="preserve">3.4 硬件 / 云资源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GPU 集群：新增 4 张 NVIDIA A100 80GB，用于 T3 多模态模型训练与在线推理（现有 2 张不足）。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数据库：PostgreSQL 主从扩容至 32C/128G，Redis 集群从 6 节点扩至 10 节点。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CDN：移动端 App 上线后带宽需求增长，CDN 流量包升级至 50TB/月。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监控：新增 APM 全链路追踪 license，覆盖 T4 工作流与 T6 移动端。</w:t>
      </w:r>
    </w:p>
    <w:p>
      <w:pPr>
        <w:pStyle w:val="Heading1"/>
      </w:pPr>
      <w:r>
        <w:rPr>
          <w:b/>
          <w:bCs/>
          <w:color w:val="2F5496"/>
          <w:sz w:val="32"/>
          <w:szCs w:val="32"/>
        </w:rPr>
        <w:t xml:space="preserve">四、风险与预案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预案</w:t>
            </w:r>
          </w:p>
        </w:tc>
        <w:tc>
          <w:tcPr>
            <w:tcW w:type="pct" w:w="14%"/>
            <w:shd w:fill="4472C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RAG 优化未达 92% 召回率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预留 2 周缓冲；备选方案降级为关键词检索+语义混合；引入外部标注数据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孙娜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SOC2 审计材料准备延期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 月首周启动预审；外聘合规顾问驻场；每周向赵军汇报进度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徐骏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新增 3 人招聘未按时到岗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启动外包备用（2 人月）；关键任务由现有成员加班兜底；调整 T6 范围至 MVP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赵军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移动端 App 性能不达标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Sprint 30 中期设性能门禁（启动≤2s）；不达标则延期灰度，优先保障核心功能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周敏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AI 写作 v3 多模态成本超预算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低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设单次推理成本上限；超限自动降级为文本模式；按用户分级开放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孙娜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Q3 遗留智能摘要 P1 缺陷复发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低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Sprint 29 首周专项回归；增加 50 条边界用例；杨飞每日监控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杨飞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设计系统 v4 切换引发回归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低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低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灰度切换（10%→50%→100%）；保留 v3 回滚开关 2 周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罗茜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高等级风险（R1、R2）需每周在技术周会上复盘，中等级风险双周复盘。R3 招聘风险需赵军 10/8 前确认招聘进度并决定是否启动外包。</w:t>
      </w:r>
    </w:p>
    <w:p>
      <w:pPr>
        <w:pStyle w:val="Heading1"/>
      </w:pPr>
      <w:r>
        <w:rPr>
          <w:b/>
          <w:bCs/>
          <w:color w:val="2F5496"/>
          <w:sz w:val="32"/>
          <w:szCs w:val="32"/>
        </w:rPr>
        <w:t xml:space="preserve">五、决策项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【决策 1】新增 3 人编制审批（年薪合计 116 万）— 需陈宇/王琳 10/10 前批准。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【决策 2】Q4 预算 186 万元审批 — 需王琳 10/12 前批准，含 GPU 扩容 42 万。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【决策 3】SOC2 合规是否作为 Q4 硬性目标 — 影响 T7 投入与外部咨询采购，需管理层确认。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【决策 4】移动端 App 是否 Q4 试运行 vs 延至 2027 Q1 — 取决于招聘到岗情况，12/1 前做 go/no-go 决策。</w:t>
      </w:r>
    </w:p>
    <w:p>
      <w:pPr>
        <w:pStyle w:val="Heading1"/>
      </w:pPr>
      <w:r>
        <w:rPr>
          <w:b/>
          <w:bCs/>
          <w:color w:val="2F5496"/>
          <w:sz w:val="32"/>
          <w:szCs w:val="32"/>
        </w:rPr>
        <w:t xml:space="preserve">六、成功标准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8 项重点任务中 6 项按里程碑如期交付（T6 移动端允许延期至 2027 Q1）。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RAG 召回率 ≥92%，AI 摘要 P1 缺陷清零。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SOC2 预审计通过，2027 Q1 正式认证。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Q4 线上可用性 SLA ≥99.9%，P0 故障 ≤1 次。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新增 3 人 10/15 前到岗，Q4 末团队人均产能 ≥Q3 水平。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2026-07-06T04:42:52.360Z</dcterms:created>
  <dcterms:modified xsi:type="dcterms:W3CDTF">2026-07-06T04:42:52.360Z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