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RAG 引擎参数配置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版本: </w:t>
      </w:r>
      <w:r>
        <w:rPr>
          <w:sz w:val="22"/>
          <w:szCs w:val="22"/>
        </w:rPr>
        <w:t xml:space="preserve">v1.0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作者: </w:t>
      </w:r>
      <w:r>
        <w:rPr>
          <w:sz w:val="22"/>
          <w:szCs w:val="22"/>
        </w:rPr>
        <w:t xml:space="preserve">i-Write 团队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日期: </w:t>
      </w:r>
      <w:r>
        <w:rPr>
          <w:sz w:val="22"/>
          <w:szCs w:val="22"/>
        </w:rPr>
        <w:t xml:space="preserve">2026-06-15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状态: </w:t>
      </w:r>
      <w:r>
        <w:rPr>
          <w:sz w:val="22"/>
          <w:szCs w:val="22"/>
        </w:rPr>
        <w:t xml:space="preserve">已发布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参数列表</w:t>
      </w:r>
    </w:p>
    <w:p>
      <w:pPr>
        <w:spacing w:after="80"/>
      </w:pPr>
      <w:r>
        <w:rPr>
          <w:sz w:val="22"/>
          <w:szCs w:val="22"/>
        </w:rPr>
        <w:t xml:space="preserve">参数 | 默认值 | 说明</w:t>
      </w:r>
    </w:p>
    <w:p>
      <w:pPr>
        <w:spacing w:after="80"/>
      </w:pPr>
      <w:r>
        <w:rPr>
          <w:sz w:val="22"/>
          <w:szCs w:val="22"/>
        </w:rPr>
        <w:t xml:space="preserve">chunk_size | 512 | 文档分块大小（tokens）</w:t>
      </w:r>
    </w:p>
    <w:p>
      <w:pPr>
        <w:spacing w:after="80"/>
      </w:pPr>
      <w:r>
        <w:rPr>
          <w:sz w:val="22"/>
          <w:szCs w:val="22"/>
        </w:rPr>
        <w:t xml:space="preserve">chunk_overlap | 64 | 分块重叠大小</w:t>
      </w:r>
    </w:p>
    <w:p>
      <w:pPr>
        <w:spacing w:after="80"/>
      </w:pPr>
      <w:r>
        <w:rPr>
          <w:sz w:val="22"/>
          <w:szCs w:val="22"/>
        </w:rPr>
        <w:t xml:space="preserve">embedding_model | 用户配置 | 默认 SiliconFlow/bge-m3</w:t>
      </w:r>
    </w:p>
    <w:p>
      <w:pPr>
        <w:spacing w:after="80"/>
      </w:pPr>
      <w:r>
        <w:rPr>
          <w:sz w:val="22"/>
          <w:szCs w:val="22"/>
        </w:rPr>
        <w:t xml:space="preserve">embedding_dimension | 1024 | 向量维度</w:t>
      </w:r>
    </w:p>
    <w:p>
      <w:pPr>
        <w:spacing w:after="80"/>
      </w:pPr>
      <w:r>
        <w:rPr>
          <w:sz w:val="22"/>
          <w:szCs w:val="22"/>
        </w:rPr>
        <w:t xml:space="preserve">bm25_k1 | 1.2 | BM25 参数 k1</w:t>
      </w:r>
    </w:p>
    <w:p>
      <w:pPr>
        <w:spacing w:after="80"/>
      </w:pPr>
      <w:r>
        <w:rPr>
          <w:sz w:val="22"/>
          <w:szCs w:val="22"/>
        </w:rPr>
        <w:t xml:space="preserve">bm25_b | 0.75 | BM25 参数 b</w:t>
      </w:r>
    </w:p>
    <w:p>
      <w:pPr>
        <w:spacing w:after="80"/>
      </w:pPr>
      <w:r>
        <w:rPr>
          <w:sz w:val="22"/>
          <w:szCs w:val="22"/>
        </w:rPr>
        <w:t xml:space="preserve">rrf_k | 60 | RRF 融合参数</w:t>
      </w:r>
    </w:p>
    <w:p>
      <w:pPr>
        <w:spacing w:after="80"/>
      </w:pPr>
      <w:r>
        <w:rPr>
          <w:sz w:val="22"/>
          <w:szCs w:val="22"/>
        </w:rPr>
        <w:t xml:space="preserve">mmr_lambda | 0.7 | MMR 多样性参数</w:t>
      </w:r>
    </w:p>
    <w:p>
      <w:pPr>
        <w:spacing w:after="80"/>
      </w:pPr>
      <w:r>
        <w:rPr>
          <w:sz w:val="22"/>
          <w:szCs w:val="22"/>
        </w:rPr>
        <w:t xml:space="preserve">top_k | 10 | 检索返回数量</w:t>
      </w:r>
    </w:p>
    <w:p>
      <w:pPr>
        <w:spacing w:after="80"/>
      </w:pPr>
      <w:r>
        <w:rPr>
          <w:sz w:val="22"/>
          <w:szCs w:val="22"/>
        </w:rPr>
        <w:t xml:space="preserve">reranker_top_k | 5 | 重排序后返回数量</w:t>
      </w:r>
    </w:p>
    <w:p>
      <w:pPr>
        <w:spacing w:after="80"/>
      </w:pPr>
      <w:r>
        <w:rPr>
          <w:sz w:val="22"/>
          <w:szCs w:val="22"/>
        </w:rPr>
        <w:t xml:space="preserve">groundedness_threshold | 0.8 | Groundedness 通过阈值</w:t>
      </w:r>
    </w:p>
    <w:p>
      <w:pPr>
        <w:spacing w:after="80"/>
      </w:pPr>
      <w:r>
        <w:rPr>
          <w:sz w:val="22"/>
          <w:szCs w:val="22"/>
        </w:rPr>
        <w:t xml:space="preserve">groundedness_fail_threshold | 0.5 | 失败阈值（触发重生成）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Pipeline 流程</w:t>
      </w:r>
    </w:p>
    <w:p>
      <w:pPr>
        <w:spacing w:after="80"/>
      </w:pPr>
      <w:r>
        <w:rPr>
          <w:sz w:val="22"/>
          <w:szCs w:val="22"/>
        </w:rPr>
        <w:t xml:space="preserve">Query Expansion → Hybrid Search → Reranker → Cross-Source Fusion → Groundedness Check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1. Query Expansion — 跨语言扩展、同义词扩展、Multi-Query 改写</w:t>
      </w:r>
    </w:p>
    <w:p>
      <w:pPr>
        <w:spacing w:after="80"/>
      </w:pPr>
      <w:r>
        <w:rPr>
          <w:sz w:val="22"/>
          <w:szCs w:val="22"/>
        </w:rPr>
        <w:t xml:space="preserve">2. Hybrid Search — BM25 + 向量语义搜索 + RRF 融合 + MMR 多样性排序</w:t>
      </w:r>
    </w:p>
    <w:p>
      <w:pPr>
        <w:spacing w:after="80"/>
      </w:pPr>
      <w:r>
        <w:rPr>
          <w:sz w:val="22"/>
          <w:szCs w:val="22"/>
        </w:rPr>
        <w:t xml:space="preserve">3. Reranker — 三级降级：远程 API → 本地 Cross-Encoder → 启发式加权</w:t>
      </w:r>
    </w:p>
    <w:p>
      <w:pPr>
        <w:spacing w:after="80"/>
      </w:pPr>
      <w:r>
        <w:rPr>
          <w:sz w:val="22"/>
          <w:szCs w:val="22"/>
        </w:rPr>
        <w:t xml:space="preserve">4. Groundedness Check — 句子级验证：groundedRatio &gt;= 0.8 → pass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2026-06-25T14:13:15.708Z</dcterms:created>
  <dcterms:modified xsi:type="dcterms:W3CDTF">2026-06-25T14:13:15.708Z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