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00" w:lineRule="auto" w:after="120"/>
      </w:pPr>
      <w:r>
        <w:rPr>
          <w:rFonts w:ascii="宋体" w:hAnsi="宋体" w:eastAsia="宋体"/>
          <w:sz w:val="22"/>
        </w:rPr>
      </w:r>
    </w:p>
    <w:p>
      <w:pPr>
        <w:spacing w:line="300" w:lineRule="auto" w:after="120"/>
      </w:pPr>
      <w:r>
        <w:rPr>
          <w:rFonts w:ascii="宋体" w:hAnsi="宋体" w:eastAsia="宋体"/>
          <w:sz w:val="22"/>
        </w:rPr>
      </w:r>
    </w:p>
    <w:p>
      <w:pPr>
        <w:spacing w:line="300" w:lineRule="auto" w:after="120"/>
      </w:pPr>
      <w:r>
        <w:rPr>
          <w:rFonts w:ascii="宋体" w:hAnsi="宋体" w:eastAsia="宋体"/>
          <w:sz w:val="22"/>
        </w:rPr>
      </w:r>
    </w:p>
    <w:p>
      <w:pPr>
        <w:jc w:val="center"/>
      </w:pPr>
      <w:r>
        <w:rPr>
          <w:rFonts w:ascii="黑体" w:hAnsi="黑体" w:eastAsia="黑体"/>
          <w:b/>
          <w:sz w:val="44"/>
        </w:rPr>
        <w:t>医保DRG智能协同平台</w:t>
        <w:br/>
        <w:t>需求分析文档</w:t>
      </w:r>
    </w:p>
    <w:p>
      <w:pPr>
        <w:jc w:val="center"/>
      </w:pPr>
      <w:r>
        <w:rPr>
          <w:rFonts w:ascii="宋体" w:hAnsi="宋体" w:eastAsia="宋体"/>
          <w:sz w:val="28"/>
        </w:rPr>
        <w:t>学生整理版</w:t>
      </w:r>
    </w:p>
    <w:p>
      <w:pPr>
        <w:spacing w:line="300" w:lineRule="auto" w:after="120"/>
      </w:pPr>
      <w:r>
        <w:rPr>
          <w:rFonts w:ascii="宋体" w:hAnsi="宋体" w:eastAsia="宋体"/>
          <w:sz w:val="22"/>
        </w:rPr>
      </w:r>
    </w:p>
    <w:p>
      <w:pPr>
        <w:spacing w:line="300" w:lineRule="auto" w:after="120"/>
      </w:pPr>
      <w:r>
        <w:rPr>
          <w:rFonts w:ascii="宋体" w:hAnsi="宋体" w:eastAsia="宋体"/>
          <w:sz w:val="22"/>
        </w:rPr>
      </w:r>
    </w:p>
    <w:p>
      <w:pPr>
        <w:spacing w:line="300" w:lineRule="auto" w:after="120"/>
      </w:pPr>
      <w:r>
        <w:rPr>
          <w:rFonts w:ascii="宋体" w:hAnsi="宋体" w:eastAsia="宋体"/>
          <w:sz w:val="22"/>
        </w:rPr>
      </w:r>
    </w:p>
    <w:p>
      <w:pPr>
        <w:spacing w:line="300" w:lineRule="auto" w:after="120"/>
      </w:pPr>
      <w:r>
        <w:rPr>
          <w:rFonts w:ascii="宋体" w:hAnsi="宋体" w:eastAsia="宋体"/>
          <w:sz w:val="22"/>
        </w:rPr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2268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5670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课程/项目名称</w:t>
            </w:r>
          </w:p>
        </w:tc>
        <w:tc>
          <w:tcPr>
            <w:tcW w:type="dxa" w:w="5670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医保DRG智能协同平台原型需求分析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小组成员</w:t>
            </w:r>
          </w:p>
        </w:tc>
        <w:tc>
          <w:tcPr>
            <w:tcW w:type="dxa" w:w="567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成员一：__________    成员二：__________    成员三：__________</w:t>
              <w:br/>
              <w:t>成员四：__________    成员五：__________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指导教师</w:t>
            </w:r>
          </w:p>
        </w:tc>
        <w:tc>
          <w:tcPr>
            <w:tcW w:type="dxa" w:w="5670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__________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文档版本</w:t>
            </w:r>
          </w:p>
        </w:tc>
        <w:tc>
          <w:tcPr>
            <w:tcW w:type="dxa" w:w="5670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V1.0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完成日期</w:t>
            </w:r>
          </w:p>
        </w:tc>
        <w:tc>
          <w:tcPr>
            <w:tcW w:type="dxa" w:w="5670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2026 年 5 月</w:t>
            </w:r>
          </w:p>
        </w:tc>
      </w:tr>
    </w:tbl>
    <w:p/>
    <w:p>
      <w:pPr>
        <w:spacing w:line="300" w:lineRule="auto" w:after="120"/>
      </w:pPr>
      <w:r>
        <w:rPr>
          <w:rFonts w:ascii="宋体" w:hAnsi="宋体" w:eastAsia="宋体"/>
          <w:sz w:val="22"/>
        </w:rPr>
      </w:r>
    </w:p>
    <w:p>
      <w:pPr>
        <w:jc w:val="center"/>
      </w:pPr>
      <w:r>
        <w:rPr>
          <w:rFonts w:ascii="宋体" w:hAnsi="宋体" w:eastAsia="宋体"/>
          <w:sz w:val="21"/>
        </w:rPr>
        <w:t>说明：本文档根据项目原型、页面结构、数据库字段和测试流程整理完成。</w:t>
      </w:r>
    </w:p>
    <w:p>
      <w:pPr>
        <w:sectPr>
          <w:pgSz w:w="11906" w:h="16838"/>
          <w:pgMar w:top="1417" w:right="1531" w:bottom="1247" w:left="1531" w:header="720" w:footer="720" w:gutter="0"/>
          <w:cols w:space="720"/>
          <w:docGrid w:linePitch="360"/>
        </w:sectPr>
      </w:pPr>
    </w:p>
    <w:p>
      <w:pPr>
        <w:pStyle w:val="Heading1"/>
        <w:spacing w:before="160" w:after="120"/>
      </w:pPr>
      <w:r>
        <w:rPr>
          <w:rFonts w:ascii="黑体" w:hAnsi="黑体" w:eastAsia="黑体"/>
          <w:color w:val="000000"/>
        </w:rPr>
        <w:t>文档信息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6237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文档名称</w:t>
            </w:r>
          </w:p>
        </w:tc>
        <w:tc>
          <w:tcPr>
            <w:tcW w:type="dxa" w:w="6237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医保DRG智能协同平台需求分析文档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文档类型</w:t>
            </w:r>
          </w:p>
        </w:tc>
        <w:tc>
          <w:tcPr>
            <w:tcW w:type="dxa" w:w="6237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课程项目需求分析 / SRS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适用阶段</w:t>
            </w:r>
          </w:p>
        </w:tc>
        <w:tc>
          <w:tcPr>
            <w:tcW w:type="dxa" w:w="6237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原型开发、功能验收、课程答辩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主要依据</w:t>
            </w:r>
          </w:p>
        </w:tc>
        <w:tc>
          <w:tcPr>
            <w:tcW w:type="dxa" w:w="6237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项目页面、Flask 路由、SQLite 数据表、测试用例和本地运行结果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整理方式</w:t>
            </w:r>
          </w:p>
        </w:tc>
        <w:tc>
          <w:tcPr>
            <w:tcW w:type="dxa" w:w="623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五人小组分工阅读项目后汇总，允许根据课程表达进行必要改写</w:t>
            </w:r>
          </w:p>
        </w:tc>
      </w:tr>
    </w:tbl>
    <w:p/>
    <w:p>
      <w:pPr>
        <w:pStyle w:val="Heading1"/>
        <w:spacing w:before="160" w:after="120"/>
      </w:pPr>
      <w:r>
        <w:rPr>
          <w:rFonts w:ascii="黑体" w:hAnsi="黑体" w:eastAsia="黑体"/>
          <w:color w:val="000000"/>
        </w:rPr>
        <w:t>小组分工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2"/>
        </w:rPr>
        <w:t>本项目按五人小组进行分工，姓名暂时留空。实际完成时，每名成员都需要理解整体流程，只是在主要负责内容上有所侧重，避免最后文档和系统实现脱节。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成员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姓名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主要分工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需要交付的内容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成员一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__________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需求调研与文档统筹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整理项目背景、业务痛点、系统边界、术语表和最终文档格式；负责统一章节逻辑。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成员二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__________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后端路由与数据库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梳理 Flask 路由、SQLite 数据表、用户体系、文档上传下载和提交管理流程。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成员三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__________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DRG 规则与病例管理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整理病例字段、MDC/ADRG/DRG 入组流程、并发症判断和模拟病例验收数据。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成员四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__________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前端页面与移动端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整理仪表盘、需求分析、病例、文档中心、移动端页面和交互适配要求。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成员五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__________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测试用例与验收材料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整理测试用例、运行检查、权限检查、演示步骤、问题记录和答辩提交材料。</w:t>
            </w:r>
          </w:p>
        </w:tc>
      </w:tr>
    </w:tbl>
    <w:p/>
    <w:p>
      <w:pPr>
        <w:pStyle w:val="Heading1"/>
        <w:spacing w:before="160" w:after="120"/>
      </w:pPr>
      <w:r>
        <w:rPr>
          <w:rFonts w:ascii="黑体" w:hAnsi="黑体" w:eastAsia="黑体"/>
          <w:color w:val="000000"/>
        </w:rPr>
        <w:t>文档构建说明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2"/>
        </w:rPr>
        <w:t>在整理这份需求分析文档时，我们不是只按照一个功能清单去写，而是先把项目原型运行起来，再分别查看页面、路由、数据库表和测试用例。这样做的好处是，文档中的需求能够和实际系统对应起来，例如病例管理页面对应 drg_cases 表，文档中心对应 documents 表，移动端日报对应 mobile_reports 表。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2"/>
        </w:rPr>
        <w:t>由于这是课程项目，系统重点放在“能解释、能演示、能本地运行”上，不把它写成真正医院可以直接上线的系统。我们在文档中保留了真实 DRG 系统常见的流程，但也说明了本项目的边界，例如没有接入真实医保接口，没有使用真实患者数据，也没有实现完整国家分组器。</w:t>
      </w:r>
    </w:p>
    <w:p>
      <w:pPr>
        <w:pStyle w:val="Heading1"/>
        <w:spacing w:before="160" w:after="120"/>
      </w:pPr>
      <w:r>
        <w:rPr>
          <w:rFonts w:ascii="黑体" w:hAnsi="黑体" w:eastAsia="黑体"/>
          <w:color w:val="000000"/>
        </w:rPr>
        <w:t>1 项目背景与目标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2"/>
        </w:rPr>
        <w:t>DRG 即按疾病诊断相关分组，是医保支付方式改革中的一种重要方法。它会把患者的主要诊断、手术操作、并发症和合并症等信息综合起来，再归入相对接近的病例组。我们在调研和学习过程中发现，DRG 的规则不只是一个简单分类表，而是和医院病案首页、医保结算、费用控制以及质量管理都有关。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2"/>
        </w:rPr>
        <w:t>从课程项目角度看，传统人工处理 DRG 信息会遇到几个明显问题：一是诊断和手术编码多，人工判断容易漏；二是分组规则不透明，医生或管理人员不容易知道为什么分到某一组；三是需求、病例、测试和提交材料分散，项目演示时不方便说明完整流程。因此，本系统希望把需求分析、病例管理、DRG 入组、文档管理和测试提交放在同一个原型平台中。</w:t>
      </w:r>
    </w:p>
    <w:p>
      <w:pPr>
        <w:pStyle w:val="Heading2"/>
        <w:spacing w:before="80" w:after="120"/>
      </w:pPr>
      <w:r>
        <w:rPr>
          <w:rFonts w:ascii="黑体" w:hAnsi="黑体" w:eastAsia="黑体"/>
          <w:color w:val="000000"/>
        </w:rPr>
        <w:t>1.1 建设目标</w:t>
      </w:r>
    </w:p>
    <w:p>
      <w:pPr>
        <w:pStyle w:val="ListBullet"/>
        <w:spacing w:line="288" w:lineRule="auto" w:after="60"/>
      </w:pPr>
      <w:r>
        <w:rPr>
          <w:rFonts w:ascii="宋体" w:hAnsi="宋体" w:eastAsia="宋体"/>
          <w:sz w:val="21"/>
        </w:rPr>
        <w:t>实现病例信息录入后自动进行 DRG 入组，并给出入组依据和主要判断过程。</w:t>
      </w:r>
    </w:p>
    <w:p>
      <w:pPr>
        <w:pStyle w:val="ListBullet"/>
        <w:spacing w:line="288" w:lineRule="auto" w:after="60"/>
      </w:pPr>
      <w:r>
        <w:rPr>
          <w:rFonts w:ascii="宋体" w:hAnsi="宋体" w:eastAsia="宋体"/>
          <w:sz w:val="21"/>
        </w:rPr>
        <w:t>提供医生、分析员、管理员三类角色入口，方便从不同角度查看业务数据。</w:t>
      </w:r>
    </w:p>
    <w:p>
      <w:pPr>
        <w:pStyle w:val="ListBullet"/>
        <w:spacing w:line="288" w:lineRule="auto" w:after="60"/>
      </w:pPr>
      <w:r>
        <w:rPr>
          <w:rFonts w:ascii="宋体" w:hAnsi="宋体" w:eastAsia="宋体"/>
          <w:sz w:val="21"/>
        </w:rPr>
        <w:t>把需求分析、测试用例、提交材料、移动端日报等内容集中管理，形成课程项目闭环。</w:t>
      </w:r>
    </w:p>
    <w:p>
      <w:pPr>
        <w:pStyle w:val="ListBullet"/>
        <w:spacing w:line="288" w:lineRule="auto" w:after="60"/>
      </w:pPr>
      <w:r>
        <w:rPr>
          <w:rFonts w:ascii="宋体" w:hAnsi="宋体" w:eastAsia="宋体"/>
          <w:sz w:val="21"/>
        </w:rPr>
        <w:t>支持本地微型 LLM 辅助说明，但不依赖外部大模型接口，保证普通电脑也能运行演示。</w:t>
      </w:r>
    </w:p>
    <w:p>
      <w:pPr>
        <w:pStyle w:val="ListBullet"/>
        <w:spacing w:line="288" w:lineRule="auto" w:after="60"/>
      </w:pPr>
      <w:r>
        <w:rPr>
          <w:rFonts w:ascii="宋体" w:hAnsi="宋体" w:eastAsia="宋体"/>
          <w:sz w:val="21"/>
        </w:rPr>
        <w:t>页面和接口尽量保持清楚，方便后续继续扩展或在答辩时讲解。</w:t>
      </w:r>
    </w:p>
    <w:p>
      <w:pPr>
        <w:pStyle w:val="Heading1"/>
        <w:spacing w:before="160" w:after="120"/>
      </w:pPr>
      <w:r>
        <w:rPr>
          <w:rFonts w:ascii="黑体" w:hAnsi="黑体" w:eastAsia="黑体"/>
          <w:color w:val="000000"/>
        </w:rPr>
        <w:t>2 系统范围与边界</w:t>
      </w:r>
    </w:p>
    <w:p>
      <w:pPr>
        <w:pStyle w:val="Heading2"/>
        <w:spacing w:before="80" w:after="120"/>
      </w:pPr>
      <w:r>
        <w:rPr>
          <w:rFonts w:ascii="黑体" w:hAnsi="黑体" w:eastAsia="黑体"/>
          <w:color w:val="000000"/>
        </w:rPr>
        <w:t>2.1 系统范围</w:t>
      </w:r>
    </w:p>
    <w:p>
      <w:pPr>
        <w:pStyle w:val="ListBullet"/>
        <w:spacing w:line="288" w:lineRule="auto" w:after="60"/>
      </w:pPr>
      <w:r>
        <w:rPr>
          <w:rFonts w:ascii="宋体" w:hAnsi="宋体" w:eastAsia="宋体"/>
          <w:sz w:val="21"/>
        </w:rPr>
        <w:t>用户登录、注册、退出和不同角色的基础权限控制。</w:t>
      </w:r>
    </w:p>
    <w:p>
      <w:pPr>
        <w:pStyle w:val="ListBullet"/>
        <w:spacing w:line="288" w:lineRule="auto" w:after="60"/>
      </w:pPr>
      <w:r>
        <w:rPr>
          <w:rFonts w:ascii="宋体" w:hAnsi="宋体" w:eastAsia="宋体"/>
          <w:sz w:val="21"/>
        </w:rPr>
        <w:t>需求分析项目的创建、查看和智能分析结果记录。</w:t>
      </w:r>
    </w:p>
    <w:p>
      <w:pPr>
        <w:pStyle w:val="ListBullet"/>
        <w:spacing w:line="288" w:lineRule="auto" w:after="60"/>
      </w:pPr>
      <w:r>
        <w:rPr>
          <w:rFonts w:ascii="宋体" w:hAnsi="宋体" w:eastAsia="宋体"/>
          <w:sz w:val="21"/>
        </w:rPr>
        <w:t>DRG 病例信息维护，包括诊断、手术、并发症和入组结果。</w:t>
      </w:r>
    </w:p>
    <w:p>
      <w:pPr>
        <w:pStyle w:val="ListBullet"/>
        <w:spacing w:line="288" w:lineRule="auto" w:after="60"/>
      </w:pPr>
      <w:r>
        <w:rPr>
          <w:rFonts w:ascii="宋体" w:hAnsi="宋体" w:eastAsia="宋体"/>
          <w:sz w:val="21"/>
        </w:rPr>
        <w:t>本地 DRG 入组规则执行，并输出 MDC、ADRG、DRG 以及解释文本。</w:t>
      </w:r>
    </w:p>
    <w:p>
      <w:pPr>
        <w:pStyle w:val="ListBullet"/>
        <w:spacing w:line="288" w:lineRule="auto" w:after="60"/>
      </w:pPr>
      <w:r>
        <w:rPr>
          <w:rFonts w:ascii="宋体" w:hAnsi="宋体" w:eastAsia="宋体"/>
          <w:sz w:val="21"/>
        </w:rPr>
        <w:t>文档中心、测试用例、项目提交、多 Agent 协作和仪表盘统计。</w:t>
      </w:r>
    </w:p>
    <w:p>
      <w:pPr>
        <w:pStyle w:val="ListBullet"/>
        <w:spacing w:line="288" w:lineRule="auto" w:after="60"/>
      </w:pPr>
      <w:r>
        <w:rPr>
          <w:rFonts w:ascii="宋体" w:hAnsi="宋体" w:eastAsia="宋体"/>
          <w:sz w:val="21"/>
        </w:rPr>
        <w:t>移动端页面适配，包括移动端首页、需求分析、日报和病例查询。</w:t>
      </w:r>
    </w:p>
    <w:p>
      <w:pPr>
        <w:pStyle w:val="Heading2"/>
        <w:spacing w:before="80" w:after="120"/>
      </w:pPr>
      <w:r>
        <w:rPr>
          <w:rFonts w:ascii="黑体" w:hAnsi="黑体" w:eastAsia="黑体"/>
          <w:color w:val="000000"/>
        </w:rPr>
        <w:t>2.2 系统边界</w:t>
      </w:r>
    </w:p>
    <w:p>
      <w:pPr>
        <w:pStyle w:val="ListBullet"/>
        <w:spacing w:line="288" w:lineRule="auto" w:after="60"/>
      </w:pPr>
      <w:r>
        <w:rPr>
          <w:rFonts w:ascii="宋体" w:hAnsi="宋体" w:eastAsia="宋体"/>
          <w:sz w:val="21"/>
        </w:rPr>
        <w:t>不接入真实医院 HIS、医保结算平台或国家医保接口。</w:t>
      </w:r>
    </w:p>
    <w:p>
      <w:pPr>
        <w:pStyle w:val="ListBullet"/>
        <w:spacing w:line="288" w:lineRule="auto" w:after="60"/>
      </w:pPr>
      <w:r>
        <w:rPr>
          <w:rFonts w:ascii="宋体" w:hAnsi="宋体" w:eastAsia="宋体"/>
          <w:sz w:val="21"/>
        </w:rPr>
        <w:t>不存储真实患者隐私数据，演示病例全部使用模拟数据。</w:t>
      </w:r>
    </w:p>
    <w:p>
      <w:pPr>
        <w:pStyle w:val="ListBullet"/>
        <w:spacing w:line="288" w:lineRule="auto" w:after="60"/>
      </w:pPr>
      <w:r>
        <w:rPr>
          <w:rFonts w:ascii="宋体" w:hAnsi="宋体" w:eastAsia="宋体"/>
          <w:sz w:val="21"/>
        </w:rPr>
        <w:t>不实现完整 ICD/ICD-10-CM/ICD-9-CM-3 标准库，仅保留课程演示需要的规则子集。</w:t>
      </w:r>
    </w:p>
    <w:p>
      <w:pPr>
        <w:pStyle w:val="ListBullet"/>
        <w:spacing w:line="288" w:lineRule="auto" w:after="60"/>
      </w:pPr>
      <w:r>
        <w:rPr>
          <w:rFonts w:ascii="宋体" w:hAnsi="宋体" w:eastAsia="宋体"/>
          <w:sz w:val="21"/>
        </w:rPr>
        <w:t>不直接计算真实医保支付金额，重点展示分组、解释和管理流程。</w:t>
      </w:r>
    </w:p>
    <w:p>
      <w:pPr>
        <w:pStyle w:val="ListBullet"/>
        <w:spacing w:line="288" w:lineRule="auto" w:after="60"/>
      </w:pPr>
      <w:r>
        <w:rPr>
          <w:rFonts w:ascii="宋体" w:hAnsi="宋体" w:eastAsia="宋体"/>
          <w:sz w:val="21"/>
        </w:rPr>
        <w:t>暂不支持复杂分布式部署，默认以 Flask + SQLite 的本地模式运行。</w:t>
      </w:r>
    </w:p>
    <w:p>
      <w:pPr>
        <w:pStyle w:val="Heading1"/>
        <w:spacing w:before="160" w:after="120"/>
      </w:pPr>
      <w:r>
        <w:rPr>
          <w:rFonts w:ascii="黑体" w:hAnsi="黑体" w:eastAsia="黑体"/>
          <w:color w:val="000000"/>
        </w:rPr>
        <w:t>3 用户角色与权限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2"/>
        </w:rPr>
        <w:t>系统中主要设置管理员、医生和分析员三类用户。这样的划分比较适合课程原型：管理员负责系统配置和整体数据，医生更关注病例录入和入组结果，分析员则更关注需求、数据和统计。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功能模块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管理员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医生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分析员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仪表盘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可查看全部统计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可查看个人相关数据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可查看分析统计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需求分析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可新增、查看、管理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可查看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可新增、查看、分析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病例管理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可新增、编辑、删除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可新增、查看、编辑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可查看、统计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DRG 入组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可执行并查看解释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可执行并查看解释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可执行并导出结果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文档中心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可上传、下载、管理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可下载查看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可上传、下载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测试用例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可管理全部用例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可执行相关用例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可维护和执行用例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项目提交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可统一提交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可查看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可准备材料并提交</w:t>
            </w:r>
          </w:p>
        </w:tc>
      </w:tr>
    </w:tbl>
    <w:p/>
    <w:p>
      <w:pPr>
        <w:pStyle w:val="Heading1"/>
        <w:spacing w:before="160" w:after="120"/>
      </w:pPr>
      <w:r>
        <w:rPr>
          <w:rFonts w:ascii="黑体" w:hAnsi="黑体" w:eastAsia="黑体"/>
          <w:color w:val="000000"/>
        </w:rPr>
        <w:t>4 功能性需求</w:t>
      </w:r>
    </w:p>
    <w:p>
      <w:pPr>
        <w:pStyle w:val="Heading2"/>
        <w:spacing w:before="80" w:after="120"/>
      </w:pPr>
      <w:r>
        <w:rPr>
          <w:rFonts w:ascii="黑体" w:hAnsi="黑体" w:eastAsia="黑体"/>
          <w:color w:val="000000"/>
        </w:rPr>
        <w:t>4.1 用户体系</w:t>
      </w:r>
    </w:p>
    <w:p>
      <w:pPr>
        <w:pStyle w:val="ListBullet"/>
        <w:spacing w:line="288" w:lineRule="auto" w:after="60"/>
      </w:pPr>
      <w:r>
        <w:rPr>
          <w:rFonts w:ascii="宋体" w:hAnsi="宋体" w:eastAsia="宋体"/>
          <w:sz w:val="21"/>
        </w:rPr>
        <w:t>FR-U01：用户可以使用用户名和密码登录系统，登录失败时给出明确提示。</w:t>
      </w:r>
    </w:p>
    <w:p>
      <w:pPr>
        <w:pStyle w:val="ListBullet"/>
        <w:spacing w:line="288" w:lineRule="auto" w:after="60"/>
      </w:pPr>
      <w:r>
        <w:rPr>
          <w:rFonts w:ascii="宋体" w:hAnsi="宋体" w:eastAsia="宋体"/>
          <w:sz w:val="21"/>
        </w:rPr>
        <w:t>FR-U02：新用户可以注册账号，系统需要检查用户名长度、密码长度和角色是否合法。</w:t>
      </w:r>
    </w:p>
    <w:p>
      <w:pPr>
        <w:pStyle w:val="ListBullet"/>
        <w:spacing w:line="288" w:lineRule="auto" w:after="60"/>
      </w:pPr>
      <w:r>
        <w:rPr>
          <w:rFonts w:ascii="宋体" w:hAnsi="宋体" w:eastAsia="宋体"/>
          <w:sz w:val="21"/>
        </w:rPr>
        <w:t>FR-U03：登录后根据角色进入对应功能页面，未登录用户不能直接访问业务页面。</w:t>
      </w:r>
    </w:p>
    <w:p>
      <w:pPr>
        <w:pStyle w:val="Heading2"/>
        <w:spacing w:before="80" w:after="120"/>
      </w:pPr>
      <w:r>
        <w:rPr>
          <w:rFonts w:ascii="黑体" w:hAnsi="黑体" w:eastAsia="黑体"/>
          <w:color w:val="000000"/>
        </w:rPr>
        <w:t>4.2 需求分析模块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2"/>
        </w:rPr>
        <w:t>需求分析模块用于记录课程项目中的业务问题、目标、约束和智能分析结果。我们认为这个模块的意义在于把“为什么做这个系统”保存下来，而不是只留下代码和页面。</w:t>
      </w:r>
    </w:p>
    <w:p>
      <w:pPr>
        <w:pStyle w:val="ListBullet"/>
        <w:spacing w:line="288" w:lineRule="auto" w:after="60"/>
      </w:pPr>
      <w:r>
        <w:rPr>
          <w:rFonts w:ascii="宋体" w:hAnsi="宋体" w:eastAsia="宋体"/>
          <w:sz w:val="21"/>
        </w:rPr>
        <w:t>支持创建项目名称、业务描述、目标和优先级。</w:t>
      </w:r>
    </w:p>
    <w:p>
      <w:pPr>
        <w:pStyle w:val="ListBullet"/>
        <w:spacing w:line="288" w:lineRule="auto" w:after="60"/>
      </w:pPr>
      <w:r>
        <w:rPr>
          <w:rFonts w:ascii="宋体" w:hAnsi="宋体" w:eastAsia="宋体"/>
          <w:sz w:val="21"/>
        </w:rPr>
        <w:t>支持查看历史需求分析记录，并在仪表盘统计数量。</w:t>
      </w:r>
    </w:p>
    <w:p>
      <w:pPr>
        <w:pStyle w:val="ListBullet"/>
        <w:spacing w:line="288" w:lineRule="auto" w:after="60"/>
      </w:pPr>
      <w:r>
        <w:rPr>
          <w:rFonts w:ascii="宋体" w:hAnsi="宋体" w:eastAsia="宋体"/>
          <w:sz w:val="21"/>
        </w:rPr>
        <w:t>支持本地微型 LLM 给出分析建议，例如风险点、功能拆分和测试重点。</w:t>
      </w:r>
    </w:p>
    <w:p>
      <w:pPr>
        <w:pStyle w:val="Heading2"/>
        <w:spacing w:before="80" w:after="120"/>
      </w:pPr>
      <w:r>
        <w:rPr>
          <w:rFonts w:ascii="黑体" w:hAnsi="黑体" w:eastAsia="黑体"/>
          <w:color w:val="000000"/>
        </w:rPr>
        <w:t>4.3 DRG 病例管理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2"/>
        </w:rPr>
        <w:t>病例管理是本系统最核心的业务入口。医生或分析员录入患者编号、主要诊断、手术操作、并发症等信息后，系统根据规则生成入组结果。为了便于课程演示，字段数量控制在较容易理解的范围内。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字段类别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主要字段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基础信息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病例编号、患者姓名、年龄、性别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用于区分不同模拟病例，不包含真实隐私信息。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诊断信息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主要诊断编码、主要诊断名称、次要诊断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主要用于匹配 MDC 和并发症等级。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手术信息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主要手术编码、主要手术名称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用于判断是否进入手术相关 ADRG。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入组结果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MDC、ADRG、DRG、权重、风险等级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由系统规则计算后写入病例记录。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解释信息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入组原因、提示信息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用于向用户说明为什么得到该结果。</w:t>
            </w:r>
          </w:p>
        </w:tc>
      </w:tr>
    </w:tbl>
    <w:p/>
    <w:p>
      <w:pPr>
        <w:pStyle w:val="Heading2"/>
        <w:spacing w:before="80" w:after="120"/>
      </w:pPr>
      <w:r>
        <w:rPr>
          <w:rFonts w:ascii="黑体" w:hAnsi="黑体" w:eastAsia="黑体"/>
          <w:color w:val="000000"/>
        </w:rPr>
        <w:t>4.4 DRG 入组引擎</w:t>
      </w:r>
    </w:p>
    <w:p>
      <w:pPr>
        <w:pStyle w:val="ListNumber"/>
        <w:spacing w:line="288" w:lineRule="auto" w:after="60"/>
      </w:pPr>
      <w:r>
        <w:rPr>
          <w:rFonts w:ascii="宋体" w:hAnsi="宋体" w:eastAsia="宋体"/>
          <w:sz w:val="21"/>
        </w:rPr>
        <w:t>系统读取主要诊断编码和名称，先匹配 MDC 大类。</w:t>
      </w:r>
    </w:p>
    <w:p>
      <w:pPr>
        <w:pStyle w:val="ListNumber"/>
        <w:spacing w:line="288" w:lineRule="auto" w:after="60"/>
      </w:pPr>
      <w:r>
        <w:rPr>
          <w:rFonts w:ascii="宋体" w:hAnsi="宋体" w:eastAsia="宋体"/>
          <w:sz w:val="21"/>
        </w:rPr>
        <w:t>结合主要手术或操作信息，进一步匹配 ADRG。</w:t>
      </w:r>
    </w:p>
    <w:p>
      <w:pPr>
        <w:pStyle w:val="ListNumber"/>
        <w:spacing w:line="288" w:lineRule="auto" w:after="60"/>
      </w:pPr>
      <w:r>
        <w:rPr>
          <w:rFonts w:ascii="宋体" w:hAnsi="宋体" w:eastAsia="宋体"/>
          <w:sz w:val="21"/>
        </w:rPr>
        <w:t>根据次要诊断判断是否存在 CC 或 MCC，并形成对应严重程度后缀。</w:t>
      </w:r>
    </w:p>
    <w:p>
      <w:pPr>
        <w:pStyle w:val="ListNumber"/>
        <w:spacing w:line="288" w:lineRule="auto" w:after="60"/>
      </w:pPr>
      <w:r>
        <w:rPr>
          <w:rFonts w:ascii="宋体" w:hAnsi="宋体" w:eastAsia="宋体"/>
          <w:sz w:val="21"/>
        </w:rPr>
        <w:t>组合 MDC、ADRG 和严重程度，得到最终 DRG 编码。</w:t>
      </w:r>
    </w:p>
    <w:p>
      <w:pPr>
        <w:pStyle w:val="ListNumber"/>
        <w:spacing w:line="288" w:lineRule="auto" w:after="60"/>
      </w:pPr>
      <w:r>
        <w:rPr>
          <w:rFonts w:ascii="宋体" w:hAnsi="宋体" w:eastAsia="宋体"/>
          <w:sz w:val="21"/>
        </w:rPr>
        <w:t>生成可读解释，说明本次入组使用了哪些关键字段。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2"/>
        </w:rPr>
        <w:t>如果输入数据不足，系统不应直接报错，而应进入兜底分组并提示用户补充诊断或手术信息。例如未识别诊断时可以进入 MDCQ/QZ1 这类兜底结果，方便后续人工核对。</w:t>
      </w:r>
    </w:p>
    <w:p>
      <w:pPr>
        <w:pStyle w:val="Heading2"/>
        <w:spacing w:before="80" w:after="120"/>
      </w:pPr>
      <w:r>
        <w:rPr>
          <w:rFonts w:ascii="黑体" w:hAnsi="黑体" w:eastAsia="黑体"/>
          <w:color w:val="000000"/>
        </w:rPr>
        <w:t>4.5 文档、测试与提交管理</w:t>
      </w:r>
    </w:p>
    <w:p>
      <w:pPr>
        <w:pStyle w:val="ListBullet"/>
        <w:spacing w:line="288" w:lineRule="auto" w:after="60"/>
      </w:pPr>
      <w:r>
        <w:rPr>
          <w:rFonts w:ascii="宋体" w:hAnsi="宋体" w:eastAsia="宋体"/>
          <w:sz w:val="21"/>
        </w:rPr>
        <w:t>文档中心用于保存需求说明、设计记录、测试记录和答辩材料。</w:t>
      </w:r>
    </w:p>
    <w:p>
      <w:pPr>
        <w:pStyle w:val="ListBullet"/>
        <w:spacing w:line="288" w:lineRule="auto" w:after="60"/>
      </w:pPr>
      <w:r>
        <w:rPr>
          <w:rFonts w:ascii="宋体" w:hAnsi="宋体" w:eastAsia="宋体"/>
          <w:sz w:val="21"/>
        </w:rPr>
        <w:t>测试用例模块记录用例名称、前置条件、操作步骤、预期结果和执行状态。</w:t>
      </w:r>
    </w:p>
    <w:p>
      <w:pPr>
        <w:pStyle w:val="ListBullet"/>
        <w:spacing w:line="288" w:lineRule="auto" w:after="60"/>
      </w:pPr>
      <w:r>
        <w:rPr>
          <w:rFonts w:ascii="宋体" w:hAnsi="宋体" w:eastAsia="宋体"/>
          <w:sz w:val="21"/>
        </w:rPr>
        <w:t>提交管理模块用于整理最终课程作业材料，包括代码、报告、截图和说明文件。</w:t>
      </w:r>
    </w:p>
    <w:p>
      <w:pPr>
        <w:pStyle w:val="ListBullet"/>
        <w:spacing w:line="288" w:lineRule="auto" w:after="60"/>
      </w:pPr>
      <w:r>
        <w:rPr>
          <w:rFonts w:ascii="宋体" w:hAnsi="宋体" w:eastAsia="宋体"/>
          <w:sz w:val="21"/>
        </w:rPr>
        <w:t>多 Agent 协作模块主要用于展示任务分配和讨论记录，不作为真实在线协作系统。</w:t>
      </w:r>
    </w:p>
    <w:p>
      <w:pPr>
        <w:pStyle w:val="Heading2"/>
        <w:spacing w:before="80" w:after="120"/>
      </w:pPr>
      <w:r>
        <w:rPr>
          <w:rFonts w:ascii="黑体" w:hAnsi="黑体" w:eastAsia="黑体"/>
          <w:color w:val="000000"/>
        </w:rPr>
        <w:t>4.6 移动端与仪表盘</w:t>
      </w:r>
    </w:p>
    <w:p>
      <w:pPr>
        <w:pStyle w:val="ListBullet"/>
        <w:spacing w:line="288" w:lineRule="auto" w:after="60"/>
      </w:pPr>
      <w:r>
        <w:rPr>
          <w:rFonts w:ascii="宋体" w:hAnsi="宋体" w:eastAsia="宋体"/>
          <w:sz w:val="21"/>
        </w:rPr>
        <w:t>移动端首页应能快速进入需求分析、病例查看和日报记录。</w:t>
      </w:r>
    </w:p>
    <w:p>
      <w:pPr>
        <w:pStyle w:val="ListBullet"/>
        <w:spacing w:line="288" w:lineRule="auto" w:after="60"/>
      </w:pPr>
      <w:r>
        <w:rPr>
          <w:rFonts w:ascii="宋体" w:hAnsi="宋体" w:eastAsia="宋体"/>
          <w:sz w:val="21"/>
        </w:rPr>
        <w:t>移动端页面要适配手机宽度，表单和按钮不能过小。</w:t>
      </w:r>
    </w:p>
    <w:p>
      <w:pPr>
        <w:pStyle w:val="ListBullet"/>
        <w:spacing w:line="288" w:lineRule="auto" w:after="60"/>
      </w:pPr>
      <w:r>
        <w:rPr>
          <w:rFonts w:ascii="宋体" w:hAnsi="宋体" w:eastAsia="宋体"/>
          <w:sz w:val="21"/>
        </w:rPr>
        <w:t>仪表盘展示病例数量、需求分析数量、文档数量、测试用例数量等统计信息。</w:t>
      </w:r>
    </w:p>
    <w:p>
      <w:pPr>
        <w:pStyle w:val="ListBullet"/>
        <w:spacing w:line="288" w:lineRule="auto" w:after="60"/>
      </w:pPr>
      <w:r>
        <w:rPr>
          <w:rFonts w:ascii="宋体" w:hAnsi="宋体" w:eastAsia="宋体"/>
          <w:sz w:val="21"/>
        </w:rPr>
        <w:t>统计数据优先从数据库读取，避免页面上写死数字。</w:t>
      </w:r>
    </w:p>
    <w:p>
      <w:pPr>
        <w:pStyle w:val="Heading1"/>
        <w:spacing w:before="160" w:after="120"/>
      </w:pPr>
      <w:r>
        <w:rPr>
          <w:rFonts w:ascii="黑体" w:hAnsi="黑体" w:eastAsia="黑体"/>
          <w:color w:val="000000"/>
        </w:rPr>
        <w:t>5 非功能性需求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类别</w:t>
            </w:r>
          </w:p>
        </w:tc>
        <w:tc>
          <w:tcPr>
            <w:tcW w:type="dxa" w:w="737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需求说明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性能</w:t>
            </w:r>
          </w:p>
        </w:tc>
        <w:tc>
          <w:tcPr>
            <w:tcW w:type="dxa" w:w="737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本地环境中普通页面加载时间应控制在 2 秒以内，DRG 入组计算应尽量在 500ms 内返回。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可靠性</w:t>
            </w:r>
          </w:p>
        </w:tc>
        <w:tc>
          <w:tcPr>
            <w:tcW w:type="dxa" w:w="737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数据库文件不存在时系统可以初始化；接口异常时页面应有提示，不能直接显示调试堆栈。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安全性</w:t>
            </w:r>
          </w:p>
        </w:tc>
        <w:tc>
          <w:tcPr>
            <w:tcW w:type="dxa" w:w="737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登录状态需要校验；上传下载文档时要避免路径穿越；默认演示账号只用于课程演示。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可维护性</w:t>
            </w:r>
          </w:p>
        </w:tc>
        <w:tc>
          <w:tcPr>
            <w:tcW w:type="dxa" w:w="737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路由、模板、静态资源和数据库操作应保持清晰目录结构，便于五人协作修改。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易用性</w:t>
            </w:r>
          </w:p>
        </w:tc>
        <w:tc>
          <w:tcPr>
            <w:tcW w:type="dxa" w:w="737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表单字段要有占位提示和错误反馈；病例入组结果需要用普通语言解释。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可部署性</w:t>
            </w:r>
          </w:p>
        </w:tc>
        <w:tc>
          <w:tcPr>
            <w:tcW w:type="dxa" w:w="737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系统应能在本地 Python 环境中启动，尽量减少外部依赖。</w:t>
            </w:r>
          </w:p>
        </w:tc>
      </w:tr>
    </w:tbl>
    <w:p/>
    <w:p>
      <w:pPr>
        <w:pStyle w:val="Heading1"/>
        <w:spacing w:before="160" w:after="120"/>
      </w:pPr>
      <w:r>
        <w:rPr>
          <w:rFonts w:ascii="黑体" w:hAnsi="黑体" w:eastAsia="黑体"/>
          <w:color w:val="000000"/>
        </w:rPr>
        <w:t>6 数据模型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2"/>
        </w:rPr>
        <w:t>根据原型代码和数据库结构，系统主要包含以下数据表。课程项目中没有使用复杂的关系数据库设计，但每张表都对应了一个相对明确的业务功能。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187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数据表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用途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主要字段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users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保存用户信息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id, username, password_hash, role, created_at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projects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保存需求分析项目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id, name, description, objective, priority, owner_id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analyses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保存智能分析结果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id, project_id, result, suggestions, created_at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drg_cases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保存 DRG 病例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case_no, patient_name, diagnosis, procedure, drg_code, reason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agents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保存协作 Agent 信息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id, name, type, status, description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messages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保存协作消息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id, agent_id, sender, content, created_at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documents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保存文档元数据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id, title, filename, path, uploader_id, created_at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test_cases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保存测试用例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id, title, steps, expected, status, owner_id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submissions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保存项目提交记录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id, title, description, file_path, status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mobile_reports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保存移动端日报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id, title, content, reporter_id, created_at</w:t>
            </w:r>
          </w:p>
        </w:tc>
      </w:tr>
    </w:tbl>
    <w:p/>
    <w:p>
      <w:pPr>
        <w:pStyle w:val="Heading1"/>
        <w:spacing w:before="160" w:after="120"/>
      </w:pPr>
      <w:r>
        <w:rPr>
          <w:rFonts w:ascii="黑体" w:hAnsi="黑体" w:eastAsia="黑体"/>
          <w:color w:val="000000"/>
        </w:rPr>
        <w:t>7 DRG 入组规则规格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2"/>
        </w:rPr>
        <w:t>本项目中的 DRG 入组规则属于课程演示版。它不是完整国家分组器，而是抽取了常见疾病大类和判断流程，用来说明 DRG 系统的基本思路。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MDC 编码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疾病大类</w:t>
            </w:r>
          </w:p>
        </w:tc>
        <w:tc>
          <w:tcPr>
            <w:tcW w:type="dxa" w:w="5103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示例判断依据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MDCB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神经系统</w:t>
            </w:r>
          </w:p>
        </w:tc>
        <w:tc>
          <w:tcPr>
            <w:tcW w:type="dxa" w:w="5103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脑梗死、脑出血、癫痫等诊断关键词或编码。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MDCA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循环系统</w:t>
            </w:r>
          </w:p>
        </w:tc>
        <w:tc>
          <w:tcPr>
            <w:tcW w:type="dxa" w:w="5103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冠心病、心衰、高血压、心律失常等。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MDCD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呼吸系统</w:t>
            </w:r>
          </w:p>
        </w:tc>
        <w:tc>
          <w:tcPr>
            <w:tcW w:type="dxa" w:w="5103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肺炎、慢阻肺、呼吸衰竭等。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MDCG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消化系统</w:t>
            </w:r>
          </w:p>
        </w:tc>
        <w:tc>
          <w:tcPr>
            <w:tcW w:type="dxa" w:w="5103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胃肠疾病、肝胆疾病、消化道手术等。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MDCH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肝胆胰系统</w:t>
            </w:r>
          </w:p>
        </w:tc>
        <w:tc>
          <w:tcPr>
            <w:tcW w:type="dxa" w:w="5103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肝炎、胆囊、胰腺相关疾病。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MDCF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肾脏与泌尿系统</w:t>
            </w:r>
          </w:p>
        </w:tc>
        <w:tc>
          <w:tcPr>
            <w:tcW w:type="dxa" w:w="5103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肾炎、泌尿感染、肾衰等。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MDCE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骨科与肌肉系统</w:t>
            </w:r>
          </w:p>
        </w:tc>
        <w:tc>
          <w:tcPr>
            <w:tcW w:type="dxa" w:w="5103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骨折、关节置换、骨科手术等。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MDCL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感染与传染病</w:t>
            </w:r>
          </w:p>
        </w:tc>
        <w:tc>
          <w:tcPr>
            <w:tcW w:type="dxa" w:w="5103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感染、败血症、传染病相关病例。</w:t>
            </w:r>
          </w:p>
        </w:tc>
      </w:tr>
    </w:tbl>
    <w:p/>
    <w:p>
      <w:pPr>
        <w:spacing w:line="300" w:lineRule="auto" w:after="120"/>
        <w:ind w:firstLine="420"/>
      </w:pPr>
      <w:r>
        <w:rPr>
          <w:rFonts w:ascii="宋体" w:hAnsi="宋体" w:eastAsia="宋体"/>
          <w:sz w:val="22"/>
        </w:rPr>
        <w:t>严重程度判断主要根据次要诊断中是否出现并发症或合并症。一般病例使用普通后缀，存在 CC 时进入中等复杂程度，存在 MCC 时进入更高复杂程度。这样设计虽然简化，但有利于演示 DRG 分类为什么会因为并发症不同而产生差异。</w:t>
      </w:r>
    </w:p>
    <w:p>
      <w:pPr>
        <w:pStyle w:val="Heading1"/>
        <w:spacing w:before="160" w:after="120"/>
      </w:pPr>
      <w:r>
        <w:rPr>
          <w:rFonts w:ascii="黑体" w:hAnsi="黑体" w:eastAsia="黑体"/>
          <w:color w:val="000000"/>
        </w:rPr>
        <w:t>8 接口与页面清单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2"/>
        </w:rPr>
        <w:t>系统采用 Flask 路由组织页面和接口。下面列出课程演示中最需要说明的路由，不把每个静态资源都列入需求文档。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路由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方法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作用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/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系统首页或登录后的入口页面。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/login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GET/POST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用户登录。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/register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GET/POST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用户注册。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/logout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退出登录。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/dashboard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仪表盘统计页面。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/analysis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GET/POST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需求分析项目创建和结果查看。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/cases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GET/POST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DRG 病例列表、新增和入组。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/cases/&lt;id&gt;/delete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POST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删除指定模拟病例。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/documents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GET/POST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文档上传、列表查看。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/documents/&lt;id&gt;/download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下载指定文档。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/tests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GET/POST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测试用例维护。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/submit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GET/POST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项目材料提交。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/mobile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移动端首页。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/mobile/analysis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GET/POST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移动端需求分析。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/mobile/reports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GET/POST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移动端日报记录。</w:t>
            </w:r>
          </w:p>
        </w:tc>
      </w:tr>
    </w:tbl>
    <w:p/>
    <w:p>
      <w:pPr>
        <w:pStyle w:val="Heading1"/>
        <w:spacing w:before="160" w:after="120"/>
      </w:pPr>
      <w:r>
        <w:rPr>
          <w:rFonts w:ascii="黑体" w:hAnsi="黑体" w:eastAsia="黑体"/>
          <w:color w:val="000000"/>
        </w:rPr>
        <w:t>9 输入校验规则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2"/>
        </w:rPr>
        <w:t>输入校验的目的不是把所有错误都挡住，而是减少明显无效数据进入数据库。课程项目中主要从长度、必填项和角色合法性三个方面进行控制。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输入项</w:t>
            </w:r>
          </w:p>
        </w:tc>
        <w:tc>
          <w:tcPr>
            <w:tcW w:type="dxa" w:w="6804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规则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用户名</w:t>
            </w:r>
          </w:p>
        </w:tc>
        <w:tc>
          <w:tcPr>
            <w:tcW w:type="dxa" w:w="6804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长度 3-20 个字符，不允许为空。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密码</w:t>
            </w:r>
          </w:p>
        </w:tc>
        <w:tc>
          <w:tcPr>
            <w:tcW w:type="dxa" w:w="6804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不少于 6 个字符，注册和登录时都需要校验。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角色</w:t>
            </w:r>
          </w:p>
        </w:tc>
        <w:tc>
          <w:tcPr>
            <w:tcW w:type="dxa" w:w="6804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只能选择 admin、doctor、analyst 三类之一。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项目名称</w:t>
            </w:r>
          </w:p>
        </w:tc>
        <w:tc>
          <w:tcPr>
            <w:tcW w:type="dxa" w:w="6804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建议不超过 40 个字符，不能为空。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业务描述</w:t>
            </w:r>
          </w:p>
        </w:tc>
        <w:tc>
          <w:tcPr>
            <w:tcW w:type="dxa" w:w="6804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建议不超过 300 个字符，说明要能看出业务背景。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病例姓名</w:t>
            </w:r>
          </w:p>
        </w:tc>
        <w:tc>
          <w:tcPr>
            <w:tcW w:type="dxa" w:w="6804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模拟姓名不超过 30 个字符，不能填写真实患者信息。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诊断/手术名称</w:t>
            </w:r>
          </w:p>
        </w:tc>
        <w:tc>
          <w:tcPr>
            <w:tcW w:type="dxa" w:w="6804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建议不超过 60 个字符，编码不超过 40 个字符。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移动端日报</w:t>
            </w:r>
          </w:p>
        </w:tc>
        <w:tc>
          <w:tcPr>
            <w:tcW w:type="dxa" w:w="6804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标题不超过 50 个字符，内容不超过 500 个字符。</w:t>
            </w:r>
          </w:p>
        </w:tc>
      </w:tr>
    </w:tbl>
    <w:p/>
    <w:p>
      <w:pPr>
        <w:pStyle w:val="Heading1"/>
        <w:spacing w:before="160" w:after="120"/>
      </w:pPr>
      <w:r>
        <w:rPr>
          <w:rFonts w:ascii="黑体" w:hAnsi="黑体" w:eastAsia="黑体"/>
          <w:color w:val="000000"/>
        </w:rPr>
        <w:t>10 技术约束</w:t>
      </w:r>
    </w:p>
    <w:p>
      <w:pPr>
        <w:pStyle w:val="ListBullet"/>
        <w:spacing w:line="288" w:lineRule="auto" w:after="60"/>
      </w:pPr>
      <w:r>
        <w:rPr>
          <w:rFonts w:ascii="宋体" w:hAnsi="宋体" w:eastAsia="宋体"/>
          <w:sz w:val="21"/>
        </w:rPr>
        <w:t>后端使用 Python 3.10+ 与 Flask 3.0.3，方便课程环境快速运行。</w:t>
      </w:r>
    </w:p>
    <w:p>
      <w:pPr>
        <w:pStyle w:val="ListBullet"/>
        <w:spacing w:line="288" w:lineRule="auto" w:after="60"/>
      </w:pPr>
      <w:r>
        <w:rPr>
          <w:rFonts w:ascii="宋体" w:hAnsi="宋体" w:eastAsia="宋体"/>
          <w:sz w:val="21"/>
        </w:rPr>
        <w:t>数据库使用 SQLite，适合原型系统和单机演示。</w:t>
      </w:r>
    </w:p>
    <w:p>
      <w:pPr>
        <w:pStyle w:val="ListBullet"/>
        <w:spacing w:line="288" w:lineRule="auto" w:after="60"/>
      </w:pPr>
      <w:r>
        <w:rPr>
          <w:rFonts w:ascii="宋体" w:hAnsi="宋体" w:eastAsia="宋体"/>
          <w:sz w:val="21"/>
        </w:rPr>
        <w:t>页面使用 Jinja2 模板、原生 CSS 和少量 JavaScript，不引入过重的前端框架。</w:t>
      </w:r>
    </w:p>
    <w:p>
      <w:pPr>
        <w:pStyle w:val="ListBullet"/>
        <w:spacing w:line="288" w:lineRule="auto" w:after="60"/>
      </w:pPr>
      <w:r>
        <w:rPr>
          <w:rFonts w:ascii="宋体" w:hAnsi="宋体" w:eastAsia="宋体"/>
          <w:sz w:val="21"/>
        </w:rPr>
        <w:t>智能分析使用本地微型 LLM 或规则模拟，不依赖外部 API。</w:t>
      </w:r>
    </w:p>
    <w:p>
      <w:pPr>
        <w:pStyle w:val="ListBullet"/>
        <w:spacing w:line="288" w:lineRule="auto" w:after="60"/>
      </w:pPr>
      <w:r>
        <w:rPr>
          <w:rFonts w:ascii="宋体" w:hAnsi="宋体" w:eastAsia="宋体"/>
          <w:sz w:val="21"/>
        </w:rPr>
        <w:t>默认运行方式为执行 python run_server.py，开发环境端口为 5000。</w:t>
      </w:r>
    </w:p>
    <w:p>
      <w:pPr>
        <w:pStyle w:val="Heading1"/>
        <w:spacing w:before="160" w:after="120"/>
      </w:pPr>
      <w:r>
        <w:rPr>
          <w:rFonts w:ascii="黑体" w:hAnsi="黑体" w:eastAsia="黑体"/>
          <w:color w:val="000000"/>
        </w:rPr>
        <w:t>11 验收标准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2"/>
        </w:rPr>
        <w:t>验收时既要看系统能不能运行，也要看文档、测试和演示是否能串起来。我们把验收标准分为运行检查、功能检查和文档检查三类。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类别</w:t>
            </w:r>
          </w:p>
        </w:tc>
        <w:tc>
          <w:tcPr>
            <w:tcW w:type="dxa" w:w="737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验收内容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运行检查</w:t>
            </w:r>
          </w:p>
        </w:tc>
        <w:tc>
          <w:tcPr>
            <w:tcW w:type="dxa" w:w="737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能够在本地启动 Flask 服务，登录后进入仪表盘，数据库能够正常初始化。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功能检查</w:t>
            </w:r>
          </w:p>
        </w:tc>
        <w:tc>
          <w:tcPr>
            <w:tcW w:type="dxa" w:w="737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可以新增需求分析项目、新增病例、执行 DRG 入组、上传文档、维护测试用例和提交材料。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权限检查</w:t>
            </w:r>
          </w:p>
        </w:tc>
        <w:tc>
          <w:tcPr>
            <w:tcW w:type="dxa" w:w="737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未登录用户不能访问业务页面，不同角色看到的功能范围基本符合设计。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移动端检查</w:t>
            </w:r>
          </w:p>
        </w:tc>
        <w:tc>
          <w:tcPr>
            <w:tcW w:type="dxa" w:w="737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手机宽度下页面布局不明显错位，主要按钮和输入框可操作。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文档检查</w:t>
            </w:r>
          </w:p>
        </w:tc>
        <w:tc>
          <w:tcPr>
            <w:tcW w:type="dxa" w:w="737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需求分析、分工、数据模型、接口、测试和项目边界说明完整。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演示检查</w:t>
            </w:r>
          </w:p>
        </w:tc>
        <w:tc>
          <w:tcPr>
            <w:tcW w:type="dxa" w:w="737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至少准备 2-3 条模拟病例，能展示不同诊断或并发症对入组结果的影响。</w:t>
            </w:r>
          </w:p>
        </w:tc>
      </w:tr>
    </w:tbl>
    <w:p/>
    <w:p>
      <w:pPr>
        <w:pStyle w:val="Heading1"/>
        <w:spacing w:before="160" w:after="120"/>
      </w:pPr>
      <w:r>
        <w:rPr>
          <w:rFonts w:ascii="黑体" w:hAnsi="黑体" w:eastAsia="黑体"/>
          <w:color w:val="000000"/>
        </w:rPr>
        <w:t>12 术语表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术语</w:t>
            </w:r>
          </w:p>
        </w:tc>
        <w:tc>
          <w:tcPr>
            <w:tcW w:type="dxa" w:w="6804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DRG</w:t>
            </w:r>
          </w:p>
        </w:tc>
        <w:tc>
          <w:tcPr>
            <w:tcW w:type="dxa" w:w="6804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Diagnosis Related Groups，按疾病诊断相关分组。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MDC</w:t>
            </w:r>
          </w:p>
        </w:tc>
        <w:tc>
          <w:tcPr>
            <w:tcW w:type="dxa" w:w="6804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Major Diagnostic Category，主要诊断大类。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ADRG</w:t>
            </w:r>
          </w:p>
        </w:tc>
        <w:tc>
          <w:tcPr>
            <w:tcW w:type="dxa" w:w="6804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相邻诊断相关组，是 DRG 分组过程中的中间层次。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CC</w:t>
            </w:r>
          </w:p>
        </w:tc>
        <w:tc>
          <w:tcPr>
            <w:tcW w:type="dxa" w:w="6804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Complication or Comorbidity，普通并发症或合并症。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MCC</w:t>
            </w:r>
          </w:p>
        </w:tc>
        <w:tc>
          <w:tcPr>
            <w:tcW w:type="dxa" w:w="6804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Major Complication or Comorbidity，严重并发症或合并症。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病例</w:t>
            </w:r>
          </w:p>
        </w:tc>
        <w:tc>
          <w:tcPr>
            <w:tcW w:type="dxa" w:w="6804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本系统中的模拟病案记录，用于演示入组过程。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本地微型 LLM</w:t>
            </w:r>
          </w:p>
        </w:tc>
        <w:tc>
          <w:tcPr>
            <w:tcW w:type="dxa" w:w="6804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项目中用于辅助分析和说明的本地小模型或规则化模拟模块。</w:t>
            </w:r>
          </w:p>
        </w:tc>
      </w:tr>
    </w:tbl>
    <w:p/>
    <w:p>
      <w:pPr>
        <w:pStyle w:val="Heading1"/>
        <w:spacing w:before="160" w:after="120"/>
      </w:pPr>
      <w:r>
        <w:rPr>
          <w:rFonts w:ascii="黑体" w:hAnsi="黑体" w:eastAsia="黑体"/>
          <w:color w:val="000000"/>
        </w:rPr>
        <w:t>附录 A 默认演示账号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角色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用户名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密码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用途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管理员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admin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123456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查看全局数据、管理文档和提交。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医生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doctor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123456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录入病例、查看入组结果。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分析员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analyst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123456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进行需求分析、测试和统计。</w:t>
            </w:r>
          </w:p>
        </w:tc>
      </w:tr>
    </w:tbl>
    <w:p/>
    <w:p>
      <w:pPr>
        <w:spacing w:line="300" w:lineRule="auto" w:after="120"/>
        <w:ind w:firstLine="420"/>
      </w:pPr>
      <w:r>
        <w:rPr>
          <w:rFonts w:ascii="宋体" w:hAnsi="宋体" w:eastAsia="宋体"/>
          <w:sz w:val="22"/>
        </w:rPr>
        <w:t>这些账号只用于课程演示，不能直接用于真实系统。真实环境需要强密码、权限审计和日志记录。</w:t>
      </w:r>
    </w:p>
    <w:p>
      <w:pPr>
        <w:pStyle w:val="Heading1"/>
        <w:spacing w:before="160" w:after="120"/>
      </w:pPr>
      <w:r>
        <w:rPr>
          <w:rFonts w:ascii="黑体" w:hAnsi="黑体" w:eastAsia="黑体"/>
          <w:color w:val="000000"/>
        </w:rPr>
        <w:t>附录 B 项目结构简要说明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目录/文件</w:t>
            </w:r>
          </w:p>
        </w:tc>
        <w:tc>
          <w:tcPr>
            <w:tcW w:type="dxa" w:w="6237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app.py / run_server.py</w:t>
            </w:r>
          </w:p>
        </w:tc>
        <w:tc>
          <w:tcPr>
            <w:tcW w:type="dxa" w:w="6237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Flask 应用入口和本地启动脚本。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templates/</w:t>
            </w:r>
          </w:p>
        </w:tc>
        <w:tc>
          <w:tcPr>
            <w:tcW w:type="dxa" w:w="6237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Jinja2 页面模板，包括登录、仪表盘、病例、文档和移动端页面。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static/</w:t>
            </w:r>
          </w:p>
        </w:tc>
        <w:tc>
          <w:tcPr>
            <w:tcW w:type="dxa" w:w="6237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CSS、JavaScript 和页面静态资源。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database/</w:t>
            </w:r>
          </w:p>
        </w:tc>
        <w:tc>
          <w:tcPr>
            <w:tcW w:type="dxa" w:w="6237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SQLite 数据库文件或初始化相关内容。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docs/</w:t>
            </w:r>
          </w:p>
        </w:tc>
        <w:tc>
          <w:tcPr>
            <w:tcW w:type="dxa" w:w="6237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需求分析文档、答辩材料和其他课程文档。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tests/</w:t>
            </w:r>
          </w:p>
        </w:tc>
        <w:tc>
          <w:tcPr>
            <w:tcW w:type="dxa" w:w="6237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测试用例或自动化测试脚本。</w:t>
            </w:r>
          </w:p>
        </w:tc>
      </w:tr>
    </w:tbl>
    <w:p/>
    <w:p>
      <w:pPr>
        <w:pStyle w:val="Heading1"/>
        <w:spacing w:before="160" w:after="120"/>
      </w:pPr>
      <w:r>
        <w:rPr>
          <w:rFonts w:ascii="黑体" w:hAnsi="黑体" w:eastAsia="黑体"/>
          <w:color w:val="000000"/>
        </w:rPr>
        <w:t>结语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2"/>
        </w:rPr>
        <w:t>通过整理这个需求分析文档，我们对 DRG 系统的理解从单纯的“编码分组”扩展到了病例录入、规则解释、权限管理、文档协作和测试验收。对于课程项目来说，最重要的不是把真实医院系统完整复刻出来，而是把业务流程、技术实现和演示材料对应清楚。后续如果继续完善，可以优先补充更完整的编码库、更多病例样本以及更细的权限和日志功能。</w:t>
      </w:r>
    </w:p>
    <w:sectPr w:rsidR="00FC693F" w:rsidRPr="0006063C" w:rsidSect="00034616">
      <w:pgSz w:w="11906" w:h="16838"/>
      <w:pgMar w:top="1417" w:right="1531" w:bottom="1247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