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1EE5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二Deepseek模型部署</w:t>
      </w:r>
    </w:p>
    <w:p w14:paraId="1173C4A2">
      <w:pPr>
        <w:pStyle w:val="3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（一）常见AI模型部署方式</w:t>
      </w:r>
    </w:p>
    <w:p w14:paraId="299D862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本地部署：模型部署直接部署本地环境中，利用各种编程语言和框架来实现。</w:t>
      </w:r>
    </w:p>
    <w:p w14:paraId="6BF93CD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服务器部署：模型部署在云服务器或者物理服务器上，已提供网络访问能力。这种方式可以使用Web服务或API来接收和处理请求，并返回模型的预测结果。</w:t>
      </w:r>
    </w:p>
    <w:p w14:paraId="43F9BA9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容器化部署：使用容器化技术将模型打包为独立的可移植容器。容器包含所有模型所需的依赖项和环境配置，并可以在不同的平台和环境中进行部署和运行。通过容器化，可以简化模型部署过程，实现快速部署和扩展。</w:t>
      </w:r>
    </w:p>
    <w:p w14:paraId="6C0DF41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无服务器部署：利用无服务器计算平台（如AWS Lambda、Azure Functions等）来部署AI模型。无服务器架构可以根据请求的需求自动扩展和分配计算资源，而无需手动管理服务器。你可以将AI模型封装在函数中，并根据需要触发执行，以实现按需计算。（云端部署）</w:t>
      </w:r>
    </w:p>
    <w:p w14:paraId="2C67A18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关于技术方面，常用的模型部署技术包括：</w:t>
      </w:r>
    </w:p>
    <w:p w14:paraId="2742398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</w:t>
      </w:r>
      <w:r>
        <w:rPr>
          <w:rFonts w:hint="default"/>
          <w:b w:val="0"/>
          <w:bCs w:val="0"/>
          <w:lang w:val="en-US" w:eastAsia="zh-CN"/>
        </w:rPr>
        <w:t>Web框架：如Flask、Django、FastAPI等，用于构建API服务，接收请求并将其传递给模型进行预测。</w:t>
      </w:r>
    </w:p>
    <w:p w14:paraId="4DA20E1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</w:t>
      </w:r>
      <w:r>
        <w:rPr>
          <w:rFonts w:hint="default"/>
          <w:b w:val="0"/>
          <w:bCs w:val="0"/>
          <w:lang w:val="en-US" w:eastAsia="zh-CN"/>
        </w:rPr>
        <w:t>容器技术：如Docker，用于将模型和其依赖项打包为独立的容器，实现快速部署和移植性。</w:t>
      </w:r>
    </w:p>
    <w:p w14:paraId="378F838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</w:t>
      </w:r>
      <w:r>
        <w:rPr>
          <w:rFonts w:hint="default"/>
          <w:b w:val="0"/>
          <w:bCs w:val="0"/>
          <w:lang w:val="en-US" w:eastAsia="zh-CN"/>
        </w:rPr>
        <w:t>服务器管理工具：如Nginx、Gunicorn等，用于管理服务器和负载均衡，以提高性能和可扩展性。</w:t>
      </w:r>
    </w:p>
    <w:p w14:paraId="428FB2D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4、</w:t>
      </w:r>
      <w:r>
        <w:rPr>
          <w:rFonts w:hint="default"/>
          <w:b w:val="0"/>
          <w:bCs w:val="0"/>
          <w:lang w:val="en-US" w:eastAsia="zh-CN"/>
        </w:rPr>
        <w:t>无服务器计算平台：如AWS Lambda、Azure Functions、Google Cloud Functions等，用于按需执行模型代码，并提供自动扩展的计算资源。</w:t>
      </w:r>
    </w:p>
    <w:p w14:paraId="0B878252">
      <w:pPr>
        <w:pStyle w:val="3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（二）Deepseek本地部署VS云端部署</w:t>
      </w:r>
    </w:p>
    <w:p w14:paraId="25540D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87905"/>
            <wp:effectExtent l="0" t="0" r="4445" b="133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514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本地部署是指将DeepSeek模型安装在企业本地服务器或工作站上，不依赖外部云服务。这种方式意味着所有的数据处理和模型计算都在本地完成，用户无需依赖外部的云平台。</w:t>
      </w:r>
    </w:p>
    <w:p w14:paraId="6D5F35A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本地部署的最大优势：</w:t>
      </w:r>
    </w:p>
    <w:p w14:paraId="082A6F0E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1、数据安全性更高，所有的数据都存储在本地服务器上，无需传输到外部云端，从而减少了数据泄露或被第三方访问的风险。</w:t>
      </w:r>
    </w:p>
    <w:p w14:paraId="21AD847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2、根据具体需求定制硬件配置，例如选择高性能的显卡或大容量硬盘。</w:t>
      </w:r>
    </w:p>
    <w:p w14:paraId="3759CE2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缺点：</w:t>
      </w:r>
    </w:p>
    <w:p w14:paraId="2C589C6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比如高昂的硬件成本、维护和管理复杂性以及扩展性较差。</w:t>
      </w:r>
    </w:p>
    <w:p w14:paraId="20ED495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云端部署则是将DeepSeek模型托管在第三方云计算平台上（如阿里云、腾讯云、华为云等），用户通过网络访问云端的服务来进行数据的处理和计算。云端部署的核心是将计算和存储资源交由云平台提供和管理，用户通过API接口与模型进行交互。</w:t>
      </w:r>
    </w:p>
    <w:p w14:paraId="136DCA8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云端部署的优势：</w:t>
      </w:r>
    </w:p>
    <w:p w14:paraId="2506C432">
      <w:pPr>
        <w:numPr>
          <w:ilvl w:val="0"/>
          <w:numId w:val="0"/>
        </w:numPr>
        <w:ind w:left="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lang w:val="en-US" w:eastAsia="zh-CN"/>
        </w:rPr>
        <w:t>1、</w:t>
      </w:r>
      <w:r>
        <w:rPr>
          <w:rFonts w:hint="eastAsia"/>
          <w:b w:val="0"/>
          <w:bCs w:val="0"/>
          <w:lang w:val="en-US" w:eastAsia="zh-CN"/>
        </w:rPr>
        <w:t>高度的灵活性和扩展性，用户可以根据实际需求动态调整计算资源。</w:t>
      </w:r>
    </w:p>
    <w:p w14:paraId="27F032D6">
      <w:pPr>
        <w:numPr>
          <w:ilvl w:val="0"/>
          <w:numId w:val="0"/>
        </w:numPr>
        <w:ind w:left="0"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1"/>
          <w:lang w:val="en-US" w:eastAsia="zh-CN"/>
        </w:rPr>
        <w:t>2、</w:t>
      </w:r>
      <w:r>
        <w:rPr>
          <w:rFonts w:hint="eastAsia"/>
          <w:b w:val="0"/>
          <w:bCs w:val="0"/>
          <w:lang w:val="en-US" w:eastAsia="zh-CN"/>
        </w:rPr>
        <w:t>云端部署通常具有多区域分布的特点，用户可以选择在不同的地理位置部署模型，从而提高访问速度和容灾能力。</w:t>
      </w:r>
    </w:p>
    <w:p w14:paraId="23A4FE6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缺点：</w:t>
      </w:r>
    </w:p>
    <w:p w14:paraId="0ECDB7C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比如数据隐私和安全问题，以及可能受到网络状况的影响。</w:t>
      </w:r>
    </w:p>
    <w:p w14:paraId="75060C6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对于企业，选择本地服务器部署模型主要对性能、安全性和灵活性的高要求。以下服务器部署模型的优缺点分析：</w:t>
      </w:r>
    </w:p>
    <w:p w14:paraId="63ADAC1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优点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12B03FF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高度控制和灵活性：本地部署允许企业直接控制其软件和基础设施，提供更大的灵活性、定制和管理能力。这使得企业能够根据特定需求进行调整，以满足业务的独特要求。</w:t>
      </w:r>
    </w:p>
    <w:p w14:paraId="1345FA6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优化性能：由于服务器位于本地网络中，可以实现对计算资源的优化利用，从而提高应用的性能。</w:t>
      </w:r>
    </w:p>
    <w:p w14:paraId="5CB3231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数据安全性：数据存储在本地，减少了通过互联网传输数据时可能遇到的安全风险，为企业提供了更高的数据保护水平。</w:t>
      </w:r>
    </w:p>
    <w:p w14:paraId="15B4DA0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支持复杂业务逻辑：服务器部署能够支持更复杂的业务逻辑，提供强大的算力，这对于需要处理大量数据或执行复杂计算的任务尤为重要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13BF0339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降低网络依赖：对于需要低延迟和离线可用性的应用，服务器部署可以减少对网络的依赖，确保服务的连续性和稳定性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22F27EC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缺点</w:t>
      </w:r>
    </w:p>
    <w:p w14:paraId="290EEFE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高昂的资本和运营成本：实施本地解决方案需要投资硬件、基础设施和软件许可证，导致初始成本较高。此外，企业还需承担维护和更新硬件、软件和安全措施的持续成本。</w:t>
      </w:r>
    </w:p>
    <w:p w14:paraId="6DC056D4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需要专业的IT人员：本地部署通常需要专门的内部IT团队来管理和支持软件和基础设施，这可能会增加支持费用。</w:t>
      </w:r>
    </w:p>
    <w:p w14:paraId="67F3A7DA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扩展性有限：物理空间和资源的限制可能导致本地部署在扩展性方面存在障碍，尤其是在业务快速增长时。</w:t>
      </w:r>
    </w:p>
    <w:p w14:paraId="149DA09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管理复杂度增加：随着服务器数量的增加，管理复杂度也会随之增加，尤其是在多机部署的情况下。</w:t>
      </w:r>
    </w:p>
    <w:p w14:paraId="6492789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技术难题：服务器集群部署虽然提高了可用性和容错性，但也带来了成本高、管理复杂和技术难题等挑战。</w:t>
      </w:r>
    </w:p>
    <w:p w14:paraId="5801980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（三）Deepseek部署系统</w:t>
      </w:r>
    </w:p>
    <w:p w14:paraId="19A422B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在部署企业级DeepSeek大模型时，操作系统的选择直接影响性能、稳定性和运维成本。以下是针对不同场景的推荐方案及对比分析，帮助非技术背景的决策者快速理解：</w:t>
      </w:r>
    </w:p>
    <w:p w14:paraId="6841655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核心推荐：Linux系统（Ubuntu/CentOS）</w:t>
      </w:r>
    </w:p>
    <w:p w14:paraId="076CBF17">
      <w:pPr>
        <w:pStyle w:val="5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Ubuntu Server（推荐指数：★★★★★）</w:t>
      </w:r>
    </w:p>
    <w:p w14:paraId="50FECB7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</w:t>
      </w:r>
      <w:r>
        <w:rPr>
          <w:rFonts w:hint="default"/>
          <w:b w:val="0"/>
          <w:bCs w:val="0"/>
          <w:lang w:val="en-US" w:eastAsia="zh-CN"/>
        </w:rPr>
        <w:t>核心优势：</w:t>
      </w:r>
    </w:p>
    <w:p w14:paraId="602D489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开箱即用的AI生态：预装Python环境，可一键安装PyTorch、TensorFlow等框架，无需复杂配置。例如，通过apt-get install python3-pip即可快速部署依赖库。</w:t>
      </w:r>
    </w:p>
    <w:p w14:paraId="2442680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高性能计算优化：对NVIDIA GPU支持极佳，直接兼容CUDA 12.x版本，无需手动编译驱动。例如，A100显卡在Ubuntu下可直接调用FP8精度加速推理。</w:t>
      </w:r>
    </w:p>
    <w:p w14:paraId="446AFD43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容器化黄金搭档：与Docker/Kubernetes无缝集成，可通过docker run --gpus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all命令直接调用GPU资源，实现模型服务的秒级扩展。</w:t>
      </w:r>
    </w:p>
    <w:p w14:paraId="66613ED4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社区支持强大：全球开发者社区活跃，遇到问题可在Stack Overow等平台快速找到解决方案，例如CUDA版本冲突问题通常24小时内有响应。</w:t>
      </w:r>
    </w:p>
    <w:p w14:paraId="0B33EC9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</w:t>
      </w:r>
      <w:r>
        <w:rPr>
          <w:rFonts w:hint="default"/>
          <w:b w:val="0"/>
          <w:bCs w:val="0"/>
          <w:lang w:val="en-US" w:eastAsia="zh-CN"/>
        </w:rPr>
        <w:t>适用场景：</w:t>
      </w:r>
    </w:p>
    <w:p w14:paraId="5F901F6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研发测试阶段：需要频繁迭代模型版本（如从7B升级到67B参数）。</w:t>
      </w:r>
    </w:p>
    <w:p w14:paraId="14592F2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混合云部署：同时使用本地GPU集群和AWS/GCP云资源的企业。</w:t>
      </w:r>
    </w:p>
    <w:p w14:paraId="0404600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技术团队年轻化：成员熟悉开源工具链，倾向于快速开发。</w:t>
      </w:r>
    </w:p>
    <w:p w14:paraId="359B9B0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</w:t>
      </w:r>
      <w:r>
        <w:rPr>
          <w:rFonts w:hint="default"/>
          <w:b w:val="0"/>
          <w:bCs w:val="0"/>
          <w:lang w:val="en-US" w:eastAsia="zh-CN"/>
        </w:rPr>
        <w:t>潜在挑战：</w:t>
      </w:r>
    </w:p>
    <w:p w14:paraId="1D194024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长期支持版本（LTS）每2年发布一次，需手动升级内核（如从20.04升级到22.04）。</w:t>
      </w:r>
    </w:p>
    <w:p w14:paraId="1B0833B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对国产GPU（如华为昇腾910B）需额外安装CANN工具链，配置复杂度较高。</w:t>
      </w:r>
    </w:p>
    <w:p w14:paraId="0C6FF96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CentOS Stream（推荐指数：★★★★☆）</w:t>
      </w:r>
    </w:p>
    <w:p w14:paraId="3C98EBA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</w:t>
      </w:r>
      <w:r>
        <w:rPr>
          <w:rFonts w:hint="default"/>
          <w:b w:val="0"/>
          <w:bCs w:val="0"/>
          <w:lang w:val="en-US" w:eastAsia="zh-CN"/>
        </w:rPr>
        <w:t>核心优势：</w:t>
      </w:r>
    </w:p>
    <w:p w14:paraId="2F5DB32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军工级稳定性：基于Red Hat Enterprise Linux（RHEL），经过2000+企业生产环境验证，适合7×24小时不间断运行。</w:t>
      </w:r>
    </w:p>
    <w:p w14:paraId="226D74D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长期技术支持：提供10年生命周期维护，例如CentOS 8 Stream的安全更新持续到2029年。</w:t>
      </w:r>
    </w:p>
    <w:p w14:paraId="04BB9E58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企业级管理工具：集成Ansible自动化运维，可通过一条命令批量配置500+服务器的swap分区和大页内存。</w:t>
      </w:r>
    </w:p>
    <w:p w14:paraId="79CE226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</w:t>
      </w:r>
      <w:r>
        <w:rPr>
          <w:rFonts w:hint="default"/>
          <w:b w:val="0"/>
          <w:bCs w:val="0"/>
          <w:lang w:val="en-US" w:eastAsia="zh-CN"/>
        </w:rPr>
        <w:t>适用场景：</w:t>
      </w:r>
    </w:p>
    <w:p w14:paraId="6B0D11C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生产环境部署：如金融行业的客服机器人、医疗领域的病历分析系统。</w:t>
      </w:r>
    </w:p>
    <w:p w14:paraId="5974D83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国产化替代需求：兼容海光DCU K100等国产AI芯片，满足信创要求。</w:t>
      </w:r>
    </w:p>
    <w:p w14:paraId="7CAB0F4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传统IT架构：企业已有Red Hat订阅服务，可复用现有运维体系。</w:t>
      </w:r>
    </w:p>
    <w:p w14:paraId="2F76F9F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</w:t>
      </w:r>
      <w:r>
        <w:rPr>
          <w:rFonts w:hint="default"/>
          <w:b w:val="0"/>
          <w:bCs w:val="0"/>
          <w:lang w:val="en-US" w:eastAsia="zh-CN"/>
        </w:rPr>
        <w:t>潜在挑战：</w:t>
      </w:r>
    </w:p>
    <w:p w14:paraId="5573B8F7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软件版本滞后：默认Python版本为3.6，需手动升级到3.8+才能支持最新深度学习框架。</w:t>
      </w:r>
    </w:p>
    <w:p w14:paraId="5D24B05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社区活跃度较低：遇到冷门问题（如InniBand网络配置）可能需要付费咨询Red Hat专家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26C1ADF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备选方案：Windows Server（推荐指数：★★★☆☆）</w:t>
      </w:r>
    </w:p>
    <w:p w14:paraId="2A08FDF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</w:t>
      </w:r>
      <w:r>
        <w:rPr>
          <w:rFonts w:hint="default"/>
          <w:b w:val="0"/>
          <w:bCs w:val="0"/>
          <w:lang w:val="en-US" w:eastAsia="zh-CN"/>
        </w:rPr>
        <w:t>核心优势：</w:t>
      </w:r>
    </w:p>
    <w:p w14:paraId="43DEBD6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零学习成本迁移：与Windows桌面系统操作逻辑一致，IT团队可快速上手。例如，通过PowerShell脚本Install-Module -Name DeepSeek-Deploy即可完成部署。</w:t>
      </w:r>
    </w:p>
    <w:p w14:paraId="18C55614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微软生态深度集成：无缝对接Azure AI服务，可通过Azure ML自动同步模型训练结果到本地服务器。</w:t>
      </w:r>
    </w:p>
    <w:p w14:paraId="57FD94A3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图形化运维界面：通过远程桌面直接监控GPU显存占用（如Task Manager实时显示RTX4090的利用率）。</w:t>
      </w:r>
    </w:p>
    <w:p w14:paraId="729D0DA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</w:t>
      </w:r>
      <w:r>
        <w:rPr>
          <w:rFonts w:hint="default"/>
          <w:b w:val="0"/>
          <w:bCs w:val="0"/>
          <w:lang w:val="en-US" w:eastAsia="zh-CN"/>
        </w:rPr>
        <w:t>适用场景：</w:t>
      </w:r>
    </w:p>
    <w:p w14:paraId="6193398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传统企业数字化转型：如制造业工厂需在现有Windows域环境中集成AI质检系统。</w:t>
      </w:r>
    </w:p>
    <w:p w14:paraId="15FA91B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低代码开发需求：使用Power Apps等工具快速搭建AI应用前端。</w:t>
      </w:r>
    </w:p>
    <w:p w14:paraId="068E5B3B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临时应急部署：如展会现场需快速搭建Demo系统，Linux运维人员无法及时到场。</w:t>
      </w:r>
    </w:p>
    <w:p w14:paraId="539EA4B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</w:t>
      </w:r>
      <w:r>
        <w:rPr>
          <w:rFonts w:hint="default"/>
          <w:b w:val="0"/>
          <w:bCs w:val="0"/>
          <w:lang w:val="en-US" w:eastAsia="zh-CN"/>
        </w:rPr>
        <w:t>显著短板：</w:t>
      </w:r>
    </w:p>
    <w:p w14:paraId="4194B4D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性能折损明显：相同硬件下，Windows的PyTorch推理速度比Linux慢15%-20%，因系统内核调度机制差异。</w:t>
      </w:r>
    </w:p>
    <w:p w14:paraId="437E1FB4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高昂授权成本：每颗物理CPU需购买Windows Server Datacenter授权（约1000美元/核心），10台8卡服务器年成本增加8万美元。</w:t>
      </w:r>
    </w:p>
    <w:p w14:paraId="2C5A8963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GPU驱动兼容性差：RTX 40系列显卡需手动安装535.98以上版本驱动，且不支持CUDA12.2的FP8精度加速。</w:t>
      </w:r>
    </w:p>
    <w:p w14:paraId="775BA29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>避坑指南：其他系统的局限性</w:t>
      </w:r>
    </w:p>
    <w:p w14:paraId="57D0EE7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macOS Server（不推荐）</w:t>
      </w:r>
    </w:p>
    <w:p w14:paraId="5021B71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</w:t>
      </w:r>
      <w:r>
        <w:rPr>
          <w:rFonts w:hint="default"/>
          <w:b w:val="0"/>
          <w:bCs w:val="0"/>
          <w:lang w:val="en-US" w:eastAsia="zh-CN"/>
        </w:rPr>
        <w:t>致命缺陷：</w:t>
      </w:r>
    </w:p>
    <w:p w14:paraId="7D91C66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无法调用NVIDIA GPU：M系列芯片仅支持Metal框架，推理速度比A100慢5-8倍。</w:t>
      </w:r>
    </w:p>
    <w:p w14:paraId="06D037ED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企业级功能缺失：缺乏集群管理工具，无法实现多节点负载均衡。</w:t>
      </w:r>
    </w:p>
    <w:p w14:paraId="052765BC">
      <w:pPr>
        <w:numPr>
          <w:ilvl w:val="0"/>
          <w:numId w:val="3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适用场景：</w:t>
      </w:r>
    </w:p>
    <w:p w14:paraId="0C59C273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仅限个人开发者本地调试（如MacBook Pro M3芯片运行7B模型）。</w:t>
      </w:r>
    </w:p>
    <w:p w14:paraId="0C5F6D8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国产操作系统（谨慎选择）</w:t>
      </w:r>
    </w:p>
    <w:p w14:paraId="16284F3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</w:t>
      </w:r>
      <w:r>
        <w:rPr>
          <w:rFonts w:hint="default"/>
          <w:b w:val="0"/>
          <w:bCs w:val="0"/>
          <w:lang w:val="en-US" w:eastAsia="zh-CN"/>
        </w:rPr>
        <w:t>典型问题：</w:t>
      </w:r>
    </w:p>
    <w:p w14:paraId="6A8AE3C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生态不完善：统信UOS等系统尚未原生支持PyTorch 2.1，需手动编译。</w:t>
      </w:r>
    </w:p>
    <w:p w14:paraId="2F53374C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性能损耗大：麒麟V10系统在海光DCU K100上的推理延迟比Ubuntu高30%。</w:t>
      </w:r>
    </w:p>
    <w:p w14:paraId="47F12E1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</w:t>
      </w:r>
      <w:r>
        <w:rPr>
          <w:rFonts w:hint="default"/>
          <w:b w:val="0"/>
          <w:bCs w:val="0"/>
          <w:lang w:val="en-US" w:eastAsia="zh-CN"/>
        </w:rPr>
        <w:t>建议：仅在政策强制要求信创时使用，需搭配博云AIOS等第三方平台弥补生态短板。</w:t>
      </w:r>
    </w:p>
    <w:p w14:paraId="3BF6835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default"/>
          <w:lang w:val="en-US" w:eastAsia="zh-CN"/>
        </w:rPr>
        <w:t>决策建议：三步选择法</w:t>
      </w:r>
    </w:p>
    <w:p w14:paraId="34D0D62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第一步：明确部署阶段</w:t>
      </w:r>
    </w:p>
    <w:p w14:paraId="5D94181F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开发测试期 → 选Ubuntu，支持快速迭代。生产运行期 → 选CentOS Stream，保障稳定性。</w:t>
      </w:r>
    </w:p>
    <w:p w14:paraId="6E08DF87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过渡期混合部署 → 同时使用Ubuntu（开发）+ CentOS（生产）。</w:t>
      </w:r>
    </w:p>
    <w:p w14:paraId="00FA628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第二步：评估硬件架构</w:t>
      </w:r>
    </w:p>
    <w:p w14:paraId="7351BC75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全NVIDIA GPU集群 → 直接选Linux。</w:t>
      </w:r>
    </w:p>
    <w:p w14:paraId="1DB83233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含国产GPU（昇腾/寒武纪）→ 优先CentOS Stream，需额外采购博云AIOS平台。</w:t>
      </w:r>
    </w:p>
    <w:p w14:paraId="67CF8266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纯CPU推理（如边缘计算）→ 可考虑Windows，但需接受性能损失。</w:t>
      </w:r>
    </w:p>
    <w:p w14:paraId="38AEB2B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第三步：平衡成本与效率</w:t>
      </w:r>
    </w:p>
    <w:p w14:paraId="5FD82CD2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初创企业：Ubuntu+Docker方案，初期硬件投入可降低40%（如用4台RTX 4090替代1台A100）。</w:t>
      </w:r>
    </w:p>
    <w:p w14:paraId="6813E26F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传统企业：CentOS Stream+Ansible方案，长期运维成本降低30%（减少故障处理时间）。</w:t>
      </w:r>
    </w:p>
    <w:p w14:paraId="11AF4D0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通过以上分析，企业可根据自身技术储备、硬件投资周期和合规要求，快速确定最适合的操作系统方案。Linux系统凭借成熟的AI生态和成本优势，仍是企业级DeepSeek部署的黄金选择。</w:t>
      </w:r>
    </w:p>
    <w:p w14:paraId="7C75BDB8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此分两步走：</w:t>
      </w:r>
    </w:p>
    <w:p w14:paraId="2C80A67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一硬件：</w:t>
      </w:r>
    </w:p>
    <w:p w14:paraId="0A1CC8C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本地服务器训练+局域网访问</w:t>
      </w:r>
    </w:p>
    <w:p w14:paraId="42ECFA4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本地服务器训练+云访问</w:t>
      </w:r>
    </w:p>
    <w:p w14:paraId="3973C52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二软件：</w:t>
      </w:r>
    </w:p>
    <w:p w14:paraId="334FEE0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1、模型如何部署在服务器上，分部门调用（1.0版本）</w:t>
      </w:r>
    </w:p>
    <w:p w14:paraId="3303585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2、适应不同部门的公司业务场景，构建企业知识库，后期更新维护【知识如何投喂、训练】（2.0版本）</w:t>
      </w:r>
    </w:p>
    <w:p w14:paraId="5AEE8DC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3、智能体，或者垂直领域深耕？（3.0版本）</w:t>
      </w:r>
    </w:p>
    <w:p w14:paraId="412BC4D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  <w:sectPr>
          <w:pgSz w:w="12240" w:h="15840"/>
          <w:pgMar w:top="1440" w:right="1800" w:bottom="1440" w:left="1800" w:header="720" w:footer="720" w:gutter="0"/>
          <w:lnNumType w:countBy="0" w:distance="360"/>
          <w:cols w:space="720" w:num="1"/>
          <w:docGrid w:type="lines" w:linePitch="312" w:charSpace="0"/>
        </w:sectPr>
      </w:pPr>
    </w:p>
    <w:p w14:paraId="18F5F8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（四）主流大模型推理框架</w:t>
      </w:r>
    </w:p>
    <w:p w14:paraId="2BC1C1C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企业部署大模型在本地服务器上，需要高效、稳定地推理部署在各类硬件环境上。现从市场上主流八款大模型推理平台/引擎深入解析，甄选最适合的解决方案。</w:t>
      </w:r>
    </w:p>
    <w:p w14:paraId="40D7957F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602480" cy="609600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46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lang w:val="en-US" w:eastAsia="zh-CN"/>
        </w:rPr>
        <w:t>综合建议</w:t>
      </w:r>
    </w:p>
    <w:p w14:paraId="714CC00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企业级高并发应用：对于在线客服、金融交易和智能文档处理等对延迟与吞吐量要求极高的场景，推荐选择 vLLM、TensorRT-LLM 或 Hugging Face TGI，它们在多 GPU 部署和低延迟响应方面表现尤为突出。</w:t>
      </w:r>
    </w:p>
    <w:p w14:paraId="3E1E113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个人开发与本地原型：Ollama 凭借其跨平台、易上手的特性，非常适合个人原型验证和离线本地部署，而 Llama.cpp 则满足了无 GPU 环境下的基本推理需求。</w:t>
      </w:r>
    </w:p>
    <w:p w14:paraId="09B2F2F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国产硬件部署：LMDeploy 针对国产 GPU 进行了深度优化，具备多模态处理优势，适合国内企业和政府机构在特定硬件环境下部署。</w:t>
      </w:r>
    </w:p>
    <w:p w14:paraId="5F05244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新兴技术探索：SGLang 与 MLC-LLM 分别在高吞吐量和编译优化上展示了前沿技术潜力，虽然当前还存在一定局限，但未来发展前景值得期待。</w:t>
      </w:r>
    </w:p>
    <w:p w14:paraId="3F7E2A07">
      <w:pPr>
        <w:pStyle w:val="3"/>
        <w:numPr>
          <w:ilvl w:val="0"/>
          <w:numId w:val="0"/>
        </w:numPr>
        <w:bidi w:val="0"/>
        <w:rPr>
          <w:rFonts w:hint="default" w:cs="Times New Roman"/>
          <w:b/>
          <w:kern w:val="2"/>
          <w:sz w:val="28"/>
          <w:lang w:val="en-US" w:eastAsia="zh-CN"/>
        </w:rPr>
      </w:pPr>
      <w:r>
        <w:rPr>
          <w:rFonts w:hint="eastAsia" w:ascii="Arial" w:hAnsi="Arial" w:eastAsia="宋体" w:cs="Times New Roman"/>
          <w:b/>
          <w:kern w:val="2"/>
          <w:sz w:val="28"/>
          <w:lang w:val="en-US" w:eastAsia="zh-CN"/>
        </w:rPr>
        <w:t>（五）</w:t>
      </w:r>
      <w:r>
        <w:rPr>
          <w:rFonts w:hint="eastAsia" w:cs="Times New Roman"/>
          <w:b/>
          <w:kern w:val="2"/>
          <w:sz w:val="28"/>
          <w:lang w:val="en-US" w:eastAsia="zh-CN"/>
        </w:rPr>
        <w:t>硬件配置</w:t>
      </w:r>
    </w:p>
    <w:p w14:paraId="3E93D2CF">
      <w:pPr>
        <w:bidi w:val="0"/>
      </w:pPr>
      <w:r>
        <w:drawing>
          <wp:inline distT="0" distB="0" distL="114300" distR="114300">
            <wp:extent cx="5273675" cy="2326640"/>
            <wp:effectExtent l="0" t="0" r="3175" b="698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753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31315"/>
            <wp:effectExtent l="0" t="0" r="4445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E1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不同参数量级模型的硬件配置需求差异显著，具体如下：</w:t>
      </w:r>
    </w:p>
    <w:p w14:paraId="5AA29F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轻量级模型（1.5B-8B）：适用于低资源设备，如树莓派或旧款笔记本。硬件要求为CPU 4核及以上，内存8GB（1.5B）至16GB（8B），显卡非必需（纯CPU推理）或4GB-8GB显存（GPU加速），存储3GB至8GB SSD空间。</w:t>
      </w:r>
    </w:p>
    <w:p w14:paraId="28F874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中端模型（14B-32B）：适配中高端消费级设备，需CPU 12核（14B）至16核（32B），内存32GB至64GB，显卡16GB-24GB显存（如RTX 4090、A100 40GB），存储15GB至30GB SSD空间。</w:t>
      </w:r>
    </w:p>
    <w:p w14:paraId="7134A8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高性能模型（70B-671B）：面向科研机构与大型企业，需CPU 32核及以上（服务器级），内存128GB（70B）至512GB（671B），显卡至少1块RTX 4090（24GB显存）或多卡并行（如8+张A100/H100，显存≥80GB/卡），存储500GB至3TB SSD空间。其中，全量版671B在BF16精度下显存需求达1.4TB，FP8精度下需800GB，需多张高性能显卡并行。</w:t>
      </w:r>
    </w:p>
    <w:p w14:paraId="26E6F8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本地服务器核心优点：</w:t>
      </w:r>
    </w:p>
    <w:p w14:paraId="4FC3DE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数据绝对安全可控</w:t>
      </w:r>
    </w:p>
    <w:p w14:paraId="0DA427B7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敏感数据不出内网：合同、财务、客户信息等100%本地处理，无云端泄露风险</w:t>
      </w:r>
    </w:p>
    <w:p w14:paraId="357210F7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满足强合规要求：金融（银保监）、政府（等保三级）、医疗（HIPAA）场景的强制本地化要求</w:t>
      </w:r>
    </w:p>
    <w:p w14:paraId="1DB6C317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自主加密策略：可集成国密算法或硬件加密模块（如 HSM）</w:t>
      </w:r>
    </w:p>
    <w:p w14:paraId="3361F2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超低延迟 &amp; 高性能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2846"/>
        <w:gridCol w:w="2859"/>
      </w:tblGrid>
      <w:tr w14:paraId="51A5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192269C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场景</w:t>
            </w:r>
          </w:p>
        </w:tc>
        <w:tc>
          <w:tcPr>
            <w:tcW w:w="2952" w:type="dxa"/>
          </w:tcPr>
          <w:p w14:paraId="059670D1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局域网延迟</w:t>
            </w:r>
          </w:p>
        </w:tc>
        <w:tc>
          <w:tcPr>
            <w:tcW w:w="2952" w:type="dxa"/>
          </w:tcPr>
          <w:p w14:paraId="0FF6B25A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公网延迟（同城）</w:t>
            </w:r>
          </w:p>
        </w:tc>
      </w:tr>
      <w:tr w14:paraId="5525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1D3698C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模型推理</w:t>
            </w:r>
          </w:p>
        </w:tc>
        <w:tc>
          <w:tcPr>
            <w:tcW w:w="2952" w:type="dxa"/>
          </w:tcPr>
          <w:p w14:paraId="50B95063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1~10ms</w:t>
            </w:r>
          </w:p>
        </w:tc>
        <w:tc>
          <w:tcPr>
            <w:tcW w:w="2952" w:type="dxa"/>
          </w:tcPr>
          <w:p w14:paraId="2B381709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30~100ms</w:t>
            </w:r>
          </w:p>
        </w:tc>
      </w:tr>
      <w:tr w14:paraId="7EEC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559988E0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知识库检索</w:t>
            </w:r>
          </w:p>
        </w:tc>
        <w:tc>
          <w:tcPr>
            <w:tcW w:w="2952" w:type="dxa"/>
          </w:tcPr>
          <w:p w14:paraId="4F88E76B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&lt;5ms</w:t>
            </w:r>
          </w:p>
        </w:tc>
        <w:tc>
          <w:tcPr>
            <w:tcW w:w="2952" w:type="dxa"/>
          </w:tcPr>
          <w:p w14:paraId="190CD6AD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50~200ms</w:t>
            </w:r>
          </w:p>
        </w:tc>
      </w:tr>
      <w:tr w14:paraId="7124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5179242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大文件上传</w:t>
            </w:r>
          </w:p>
        </w:tc>
        <w:tc>
          <w:tcPr>
            <w:tcW w:w="2952" w:type="dxa"/>
          </w:tcPr>
          <w:p w14:paraId="22AF0C88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1Gbps+</w:t>
            </w:r>
          </w:p>
        </w:tc>
        <w:tc>
          <w:tcPr>
            <w:tcW w:w="2952" w:type="dxa"/>
          </w:tcPr>
          <w:p w14:paraId="2B8E2F36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受限于公网带宽</w:t>
            </w:r>
          </w:p>
        </w:tc>
      </w:tr>
    </w:tbl>
    <w:p w14:paraId="12F128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深度定制化能力</w:t>
      </w:r>
    </w:p>
    <w:p w14:paraId="668E59E8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模型微调：注入企业术语（如内部产品名、行业黑话）</w:t>
      </w:r>
    </w:p>
    <w:p w14:paraId="085D461B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权限体系：基于部门/VLAN/IP 的细粒度隔离（如法务部仅访问合规模型）</w:t>
      </w:r>
    </w:p>
    <w:p w14:paraId="77A2EA0E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硬件优化：针对性配置 GPU 拓扑（NVLink 全互联 vs PCIe 分层）</w:t>
      </w:r>
    </w:p>
    <w:p w14:paraId="01F4284B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长期成本更优</w:t>
      </w:r>
    </w:p>
    <w:p w14:paraId="62F41836"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本地服务器主要挑战</w:t>
      </w:r>
      <w:r>
        <w:rPr>
          <w:rFonts w:hint="eastAsia"/>
          <w:lang w:val="en-US" w:eastAsia="zh-CN"/>
        </w:rPr>
        <w:t>：</w:t>
      </w:r>
    </w:p>
    <w:p w14:paraId="5044382E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高初始投入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2134"/>
        <w:gridCol w:w="2147"/>
        <w:gridCol w:w="2125"/>
      </w:tblGrid>
      <w:tr w14:paraId="70B7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96AF691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组件</w:t>
            </w:r>
          </w:p>
        </w:tc>
        <w:tc>
          <w:tcPr>
            <w:tcW w:w="2214" w:type="dxa"/>
          </w:tcPr>
          <w:p w14:paraId="41983DCE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入门配置</w:t>
            </w:r>
          </w:p>
        </w:tc>
        <w:tc>
          <w:tcPr>
            <w:tcW w:w="2214" w:type="dxa"/>
          </w:tcPr>
          <w:p w14:paraId="7683F0B4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企业级配置</w:t>
            </w:r>
          </w:p>
        </w:tc>
        <w:tc>
          <w:tcPr>
            <w:tcW w:w="2214" w:type="dxa"/>
          </w:tcPr>
          <w:p w14:paraId="3F01F957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成本估算</w:t>
            </w:r>
          </w:p>
        </w:tc>
      </w:tr>
      <w:tr w14:paraId="5C91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DEAD7A6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GPU</w:t>
            </w:r>
          </w:p>
        </w:tc>
        <w:tc>
          <w:tcPr>
            <w:tcW w:w="2214" w:type="dxa"/>
          </w:tcPr>
          <w:p w14:paraId="3F0CE420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4×RTX 4090 (24GB)</w:t>
            </w:r>
          </w:p>
        </w:tc>
        <w:tc>
          <w:tcPr>
            <w:tcW w:w="2214" w:type="dxa"/>
          </w:tcPr>
          <w:p w14:paraId="3484C41F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8×A100 80GB (NVLink)</w:t>
            </w:r>
          </w:p>
        </w:tc>
        <w:tc>
          <w:tcPr>
            <w:tcW w:w="2214" w:type="dxa"/>
          </w:tcPr>
          <w:p w14:paraId="44E8F128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¥15万~¥120万</w:t>
            </w:r>
          </w:p>
        </w:tc>
      </w:tr>
      <w:tr w14:paraId="5112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0537B3D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高速网络</w:t>
            </w:r>
          </w:p>
        </w:tc>
        <w:tc>
          <w:tcPr>
            <w:tcW w:w="2214" w:type="dxa"/>
          </w:tcPr>
          <w:p w14:paraId="738C71E0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10Gbps 交换机</w:t>
            </w:r>
          </w:p>
        </w:tc>
        <w:tc>
          <w:tcPr>
            <w:tcW w:w="2214" w:type="dxa"/>
          </w:tcPr>
          <w:p w14:paraId="698DE72C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100Gbps RDMA 网络</w:t>
            </w:r>
          </w:p>
        </w:tc>
        <w:tc>
          <w:tcPr>
            <w:tcW w:w="2214" w:type="dxa"/>
          </w:tcPr>
          <w:p w14:paraId="7E7270B1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¥5万~¥50万</w:t>
            </w:r>
          </w:p>
        </w:tc>
      </w:tr>
      <w:tr w14:paraId="0430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C129DB1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冗余存储</w:t>
            </w:r>
          </w:p>
        </w:tc>
        <w:tc>
          <w:tcPr>
            <w:tcW w:w="2214" w:type="dxa"/>
          </w:tcPr>
          <w:p w14:paraId="01640BB1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RAID 5 HDD</w:t>
            </w:r>
          </w:p>
        </w:tc>
        <w:tc>
          <w:tcPr>
            <w:tcW w:w="2214" w:type="dxa"/>
          </w:tcPr>
          <w:p w14:paraId="1EEA2ABD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NVMe SSD + 异地备份</w:t>
            </w:r>
          </w:p>
        </w:tc>
        <w:tc>
          <w:tcPr>
            <w:tcW w:w="2214" w:type="dxa"/>
          </w:tcPr>
          <w:p w14:paraId="391E2905">
            <w:pPr>
              <w:widowControl w:val="0"/>
              <w:numPr>
                <w:ilvl w:val="0"/>
                <w:numId w:val="0"/>
              </w:numPr>
              <w:bidi w:val="0"/>
              <w:ind w:leftChars="0"/>
            </w:pPr>
            <w:r>
              <w:rPr>
                <w:rFonts w:hint="default"/>
                <w:lang w:val="en-US" w:eastAsia="zh-CN"/>
              </w:rPr>
              <w:t>¥3万~¥20万</w:t>
            </w:r>
          </w:p>
        </w:tc>
      </w:tr>
    </w:tbl>
    <w:p w14:paraId="19D64517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运维复杂度高</w:t>
      </w:r>
    </w:p>
    <w:p w14:paraId="28C33796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需专职团队维护：</w:t>
      </w:r>
    </w:p>
    <w:p w14:paraId="5CE07103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GPU 驱动/CUDA 版本兼容性</w:t>
      </w:r>
    </w:p>
    <w:p w14:paraId="2FA5546E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分布式框架故障排查（vLLM + Ray 集群）</w:t>
      </w:r>
    </w:p>
    <w:p w14:paraId="1A261DFA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知识库同步异常（如 Milvus 索引损坏）</w:t>
      </w:r>
    </w:p>
    <w:p w14:paraId="56F80B44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容灾能力弱：需自建 HA 方案（如 Kubernetes 集群 + 跨机房租用）</w:t>
      </w:r>
    </w:p>
    <w:p w14:paraId="772B2C25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弹性扩展困难</w:t>
      </w:r>
    </w:p>
    <w:p w14:paraId="2DC28F07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突发流量处理：本地资源上限固定，无法秒级扩容</w:t>
      </w:r>
    </w:p>
    <w:p w14:paraId="0D5FA129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模型升级滞后：需手动下载百 GB 级新模型，服务中断时间长</w:t>
      </w:r>
    </w:p>
    <w:p w14:paraId="6F8653D0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能源与空间成本</w:t>
      </w:r>
    </w:p>
    <w:p w14:paraId="0C411960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单台 8-GPU 服务器：</w:t>
      </w:r>
    </w:p>
    <w:p w14:paraId="599D8510">
      <w:pPr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功耗 ≈ 4.5KW（月电费 ¥6000+）</w:t>
      </w:r>
    </w:p>
    <w:p w14:paraId="4A672E9E">
      <w:pPr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机房空间 ≥ 8U</w:t>
      </w:r>
    </w:p>
    <w:p w14:paraId="1F7C7DD7">
      <w:pPr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需配套 UPS、精密空调</w:t>
      </w:r>
    </w:p>
    <w:p w14:paraId="20EBFF66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本地服务器VS公有云：</w:t>
      </w:r>
    </w:p>
    <w:p w14:paraId="0F119B4F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99990" cy="2914650"/>
            <wp:effectExtent l="0" t="0" r="63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1B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（六）R1 VS V3作为企业底座模型</w:t>
      </w:r>
    </w:p>
    <w:p w14:paraId="5A3C73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 DeepSeek-R1 还是 V3 作为企业部署的底座模型，需结合业务场景、技术需求和成本预算综合判断。以下是关键对比及建议：</w:t>
      </w:r>
    </w:p>
    <w:p w14:paraId="1EA2BAA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核心定位于能力差异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681"/>
        <w:gridCol w:w="3569"/>
      </w:tblGrid>
      <w:tr w14:paraId="6C1D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5CB3D31">
            <w:pPr>
              <w:widowControl w:val="0"/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3825" w:type="dxa"/>
          </w:tcPr>
          <w:p w14:paraId="4C07939E">
            <w:pPr>
              <w:widowControl w:val="0"/>
            </w:pPr>
            <w:r>
              <w:rPr>
                <w:rFonts w:hint="default"/>
                <w:lang w:val="en-US" w:eastAsia="zh-CN"/>
              </w:rPr>
              <w:t>DeepSeek-V3</w:t>
            </w:r>
          </w:p>
        </w:tc>
        <w:tc>
          <w:tcPr>
            <w:tcW w:w="3704" w:type="dxa"/>
          </w:tcPr>
          <w:p w14:paraId="38DC6888">
            <w:pPr>
              <w:widowControl w:val="0"/>
            </w:pPr>
            <w:r>
              <w:rPr>
                <w:rFonts w:hint="default"/>
                <w:lang w:val="en-US" w:eastAsia="zh-CN"/>
              </w:rPr>
              <w:t>DeepSeek-R1</w:t>
            </w:r>
          </w:p>
        </w:tc>
      </w:tr>
      <w:tr w14:paraId="3D0B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618E2472">
            <w:pPr>
              <w:widowControl w:val="0"/>
            </w:pPr>
            <w:r>
              <w:rPr>
                <w:rFonts w:hint="default"/>
                <w:lang w:val="en-US" w:eastAsia="zh-CN"/>
              </w:rPr>
              <w:t>设计目标</w:t>
            </w:r>
          </w:p>
        </w:tc>
        <w:tc>
          <w:tcPr>
            <w:tcW w:w="3825" w:type="dxa"/>
          </w:tcPr>
          <w:p w14:paraId="515D5B80">
            <w:pPr>
              <w:widowControl w:val="0"/>
            </w:pPr>
            <w:r>
              <w:rPr>
                <w:rFonts w:hint="default"/>
                <w:lang w:val="en-US" w:eastAsia="zh-CN"/>
              </w:rPr>
              <w:t>通用型 NLP 任务（多语言翻译、长文本生成、客服对话）</w:t>
            </w:r>
          </w:p>
        </w:tc>
        <w:tc>
          <w:tcPr>
            <w:tcW w:w="3704" w:type="dxa"/>
          </w:tcPr>
          <w:p w14:paraId="37F01346">
            <w:pPr>
              <w:widowControl w:val="0"/>
            </w:pPr>
            <w:r>
              <w:rPr>
                <w:rFonts w:hint="default"/>
                <w:lang w:val="en-US" w:eastAsia="zh-CN"/>
              </w:rPr>
              <w:t>复杂推理专精（数学证明、代码生成、金融策略）</w:t>
            </w:r>
          </w:p>
        </w:tc>
      </w:tr>
      <w:tr w14:paraId="6E5E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4CF27FFA">
            <w:pPr>
              <w:widowControl w:val="0"/>
            </w:pPr>
            <w:r>
              <w:rPr>
                <w:rFonts w:hint="default"/>
                <w:lang w:val="en-US" w:eastAsia="zh-CN"/>
              </w:rPr>
              <w:t>架构</w:t>
            </w:r>
          </w:p>
        </w:tc>
        <w:tc>
          <w:tcPr>
            <w:tcW w:w="3825" w:type="dxa"/>
          </w:tcPr>
          <w:p w14:paraId="21C1733F">
            <w:pPr>
              <w:widowControl w:val="0"/>
            </w:pPr>
            <w:r>
              <w:rPr>
                <w:rFonts w:hint="default"/>
                <w:lang w:val="en-US" w:eastAsia="zh-CN"/>
              </w:rPr>
              <w:t>混合专家（MoE），6710 亿参数（每次激活 370 亿）</w:t>
            </w:r>
          </w:p>
        </w:tc>
        <w:tc>
          <w:tcPr>
            <w:tcW w:w="3704" w:type="dxa"/>
          </w:tcPr>
          <w:p w14:paraId="2BCA10CC">
            <w:pPr>
              <w:widowControl w:val="0"/>
            </w:pPr>
            <w:r>
              <w:rPr>
                <w:rFonts w:hint="default"/>
                <w:lang w:val="en-US" w:eastAsia="zh-CN"/>
              </w:rPr>
              <w:t>基于 MoE 改进，强化学习（RL）驱动，支持“思维链”输出</w:t>
            </w:r>
          </w:p>
        </w:tc>
      </w:tr>
      <w:tr w14:paraId="378E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5EEDD67">
            <w:pPr>
              <w:widowControl w:val="0"/>
            </w:pPr>
            <w:r>
              <w:rPr>
                <w:rFonts w:hint="default"/>
                <w:lang w:val="en-US" w:eastAsia="zh-CN"/>
              </w:rPr>
              <w:t>关键优势</w:t>
            </w:r>
          </w:p>
        </w:tc>
        <w:tc>
          <w:tcPr>
            <w:tcW w:w="3825" w:type="dxa"/>
          </w:tcPr>
          <w:p w14:paraId="79BDCE78">
            <w:pPr>
              <w:widowControl w:val="0"/>
            </w:pPr>
            <w:r>
              <w:rPr>
                <w:rFonts w:hint="default"/>
                <w:lang w:val="en-US" w:eastAsia="zh-CN"/>
              </w:rPr>
              <w:t>响应快、成本低（API：$0.14/百万 token）</w:t>
            </w:r>
          </w:p>
        </w:tc>
        <w:tc>
          <w:tcPr>
            <w:tcW w:w="3704" w:type="dxa"/>
          </w:tcPr>
          <w:p w14:paraId="4E5EF179">
            <w:pPr>
              <w:widowControl w:val="0"/>
            </w:pPr>
            <w:r>
              <w:rPr>
                <w:rFonts w:hint="default"/>
                <w:lang w:val="en-US" w:eastAsia="zh-CN"/>
              </w:rPr>
              <w:t>推理深度强（MATH-500 准确率 97.3%），透明决策</w:t>
            </w:r>
          </w:p>
        </w:tc>
      </w:tr>
      <w:tr w14:paraId="45D0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CBDE5ED">
            <w:pPr>
              <w:widowControl w:val="0"/>
            </w:pPr>
            <w:r>
              <w:rPr>
                <w:rFonts w:hint="default"/>
                <w:lang w:val="en-US" w:eastAsia="zh-CN"/>
              </w:rPr>
              <w:t>典型场景</w:t>
            </w:r>
          </w:p>
        </w:tc>
        <w:tc>
          <w:tcPr>
            <w:tcW w:w="3825" w:type="dxa"/>
          </w:tcPr>
          <w:p w14:paraId="34F9FF92">
            <w:pPr>
              <w:widowControl w:val="0"/>
            </w:pPr>
            <w:r>
              <w:rPr>
                <w:rFonts w:hint="default"/>
                <w:lang w:val="en-US" w:eastAsia="zh-CN"/>
              </w:rPr>
              <w:t>内容创作、智能客服、多语言处理</w:t>
            </w:r>
          </w:p>
        </w:tc>
        <w:tc>
          <w:tcPr>
            <w:tcW w:w="3704" w:type="dxa"/>
          </w:tcPr>
          <w:p w14:paraId="51F372A3">
            <w:pPr>
              <w:widowControl w:val="0"/>
            </w:pPr>
            <w:r>
              <w:rPr>
                <w:rFonts w:hint="default"/>
                <w:lang w:val="en-US" w:eastAsia="zh-CN"/>
              </w:rPr>
              <w:t>科研分析、量化交易、算法开发</w:t>
            </w:r>
          </w:p>
        </w:tc>
      </w:tr>
    </w:tbl>
    <w:p w14:paraId="42A38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48174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 V3：高并发、低成本通用任务（如客服/营销文案）。</w:t>
      </w:r>
    </w:p>
    <w:p w14:paraId="562E2D6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选 R1：需逻辑链拆解的专业场景（如金融建模/代码生成）</w:t>
      </w:r>
      <w:r>
        <w:rPr>
          <w:rFonts w:hint="eastAsia"/>
          <w:lang w:val="en-US" w:eastAsia="zh-CN"/>
        </w:rPr>
        <w:t>。</w:t>
      </w:r>
    </w:p>
    <w:p w14:paraId="7EC0FC4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性能与成本对比</w:t>
      </w:r>
    </w:p>
    <w:p w14:paraId="7C806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推理效率</w:t>
      </w:r>
    </w:p>
    <w:p w14:paraId="0CD24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V3：</w:t>
      </w:r>
    </w:p>
    <w:p w14:paraId="1A355D3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动态稀疏注意力机制，长文本延迟降低 57%；</w:t>
      </w:r>
    </w:p>
    <w:p w14:paraId="3ACD51A1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128K 上下文，适合文档摘要、报告生成。</w:t>
      </w:r>
    </w:p>
    <w:p w14:paraId="4F21C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R1：</w:t>
      </w:r>
    </w:p>
    <w:p w14:paraId="5B3AB1E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思维链输出增强可解释性，但单次推理延迟更高（复杂任务约 500ms）</w:t>
      </w:r>
      <w:r>
        <w:rPr>
          <w:rFonts w:hint="eastAsia"/>
          <w:lang w:val="en-US" w:eastAsia="zh-CN"/>
        </w:rPr>
        <w:t>。</w:t>
      </w:r>
    </w:p>
    <w:p w14:paraId="03F9F8E6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kern w:val="2"/>
          <w:sz w:val="21"/>
          <w:lang w:val="en-US" w:eastAsia="zh-CN"/>
        </w:rPr>
        <w:t>、</w:t>
      </w:r>
      <w:r>
        <w:rPr>
          <w:rFonts w:hint="eastAsia"/>
          <w:lang w:val="en-US" w:eastAsia="zh-CN"/>
        </w:rPr>
        <w:t>部署成本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3225"/>
        <w:gridCol w:w="3873"/>
      </w:tblGrid>
      <w:tr w14:paraId="5E19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2FA9F83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3340" w:type="dxa"/>
          </w:tcPr>
          <w:p w14:paraId="4015C5A3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V3</w:t>
            </w:r>
          </w:p>
        </w:tc>
        <w:tc>
          <w:tcPr>
            <w:tcW w:w="4042" w:type="dxa"/>
          </w:tcPr>
          <w:p w14:paraId="609A728B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R1</w:t>
            </w:r>
          </w:p>
        </w:tc>
      </w:tr>
      <w:tr w14:paraId="5B37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834B058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API 成本</w:t>
            </w:r>
          </w:p>
        </w:tc>
        <w:tc>
          <w:tcPr>
            <w:tcW w:w="3340" w:type="dxa"/>
          </w:tcPr>
          <w:p w14:paraId="68E91716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$0.14/百万 token（输入）</w:t>
            </w:r>
          </w:p>
        </w:tc>
        <w:tc>
          <w:tcPr>
            <w:tcW w:w="4042" w:type="dxa"/>
          </w:tcPr>
          <w:p w14:paraId="0AA310FC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$0.55/百万 token（输入）</w:t>
            </w:r>
          </w:p>
        </w:tc>
      </w:tr>
      <w:tr w14:paraId="1AFD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8DAA039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硬件需求</w:t>
            </w:r>
          </w:p>
        </w:tc>
        <w:tc>
          <w:tcPr>
            <w:tcW w:w="3340" w:type="dxa"/>
          </w:tcPr>
          <w:p w14:paraId="5DD70DA2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消费级 GPU 可运行蒸馏版（14B）</w:t>
            </w:r>
          </w:p>
        </w:tc>
        <w:tc>
          <w:tcPr>
            <w:tcW w:w="4042" w:type="dxa"/>
          </w:tcPr>
          <w:p w14:paraId="5E0CA984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满血版需 8×H200 GPU（约 768GB 显存）</w:t>
            </w:r>
          </w:p>
        </w:tc>
      </w:tr>
      <w:tr w14:paraId="0445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E67A44F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本地化</w:t>
            </w:r>
          </w:p>
        </w:tc>
        <w:tc>
          <w:tcPr>
            <w:tcW w:w="3340" w:type="dxa"/>
          </w:tcPr>
          <w:p w14:paraId="731C498D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适配华为昇腾 NPU/AMD GPU</w:t>
            </w:r>
          </w:p>
        </w:tc>
        <w:tc>
          <w:tcPr>
            <w:tcW w:w="4042" w:type="dxa"/>
          </w:tcPr>
          <w:p w14:paraId="51479FF7">
            <w:pPr>
              <w:widowControl w:val="0"/>
              <w:numPr>
                <w:ilvl w:val="0"/>
                <w:numId w:val="0"/>
              </w:numPr>
              <w:ind w:leftChars="0"/>
            </w:pPr>
            <w:r>
              <w:rPr>
                <w:rFonts w:hint="default"/>
                <w:lang w:val="en-US" w:eastAsia="zh-CN"/>
              </w:rPr>
              <w:t>支持蒸馏至 32B/70B 小模型</w:t>
            </w:r>
          </w:p>
        </w:tc>
      </w:tr>
    </w:tbl>
    <w:p w14:paraId="480B9D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业务场景适配建议</w:t>
      </w:r>
    </w:p>
    <w:p w14:paraId="795F19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1、优先选 V3 的场景</w:t>
      </w:r>
    </w:p>
    <w:p w14:paraId="46964EF9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高并发服务（如客服系统）：响应延迟 &lt;200ms，支持 100+ 并发。</w:t>
      </w:r>
    </w:p>
    <w:p w14:paraId="0D60E0B1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多语言/长文本处理：支持 128K 上下文，适合跨境电商的翻译与内容生成。</w:t>
      </w:r>
    </w:p>
    <w:p w14:paraId="36EE4F42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预算敏感型业务：API 成本仅为 R1 的 1/4，适合初创企业 MVP 验证。</w:t>
      </w:r>
    </w:p>
    <w:p w14:paraId="0C4126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2、优先选 R1 的场景</w:t>
      </w:r>
    </w:p>
    <w:p w14:paraId="36AAB25D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复杂决策支持：如金融量化模型，R1 在 AIME 数学竞赛准确率 79.8%（V3 为 68.7%）。</w:t>
      </w:r>
    </w:p>
    <w:p w14:paraId="53C2EFA1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代码生成与调试：Codeforces Elo 评分 2029（V3 为 1950），适合开发工具链集成。</w:t>
      </w:r>
    </w:p>
    <w:p w14:paraId="09576F9C">
      <w:pPr>
        <w:numPr>
          <w:ilvl w:val="0"/>
          <w:numId w:val="4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科研与教育：思维链输出适合教学场景，提升结果可信度。</w:t>
      </w:r>
    </w:p>
    <w:p w14:paraId="3BCD620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部署与生态支持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3632"/>
        <w:gridCol w:w="3835"/>
      </w:tblGrid>
      <w:tr w14:paraId="06A2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2FDABEB7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能力</w:t>
            </w:r>
          </w:p>
        </w:tc>
        <w:tc>
          <w:tcPr>
            <w:tcW w:w="3740" w:type="dxa"/>
          </w:tcPr>
          <w:p w14:paraId="76B53438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V3</w:t>
            </w:r>
          </w:p>
        </w:tc>
        <w:tc>
          <w:tcPr>
            <w:tcW w:w="4015" w:type="dxa"/>
          </w:tcPr>
          <w:p w14:paraId="2ECE0705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R1</w:t>
            </w:r>
          </w:p>
        </w:tc>
      </w:tr>
      <w:tr w14:paraId="5A92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60B949B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开源支持</w:t>
            </w:r>
          </w:p>
        </w:tc>
        <w:tc>
          <w:tcPr>
            <w:tcW w:w="3740" w:type="dxa"/>
          </w:tcPr>
          <w:p w14:paraId="786C6C64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集成 vLLM/LMDeploy，适配国产硬件</w:t>
            </w:r>
          </w:p>
        </w:tc>
        <w:tc>
          <w:tcPr>
            <w:tcW w:w="4015" w:type="dxa"/>
          </w:tcPr>
          <w:p w14:paraId="620B6064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MIT 协议开源，提供 Qwen/Llama 蒸馏版</w:t>
            </w:r>
          </w:p>
        </w:tc>
      </w:tr>
      <w:tr w14:paraId="5A23E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F78A590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工具链</w:t>
            </w:r>
          </w:p>
        </w:tc>
        <w:tc>
          <w:tcPr>
            <w:tcW w:w="3740" w:type="dxa"/>
          </w:tcPr>
          <w:p w14:paraId="27F6714A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支持 FP8 量化、多令牌预测加速</w:t>
            </w:r>
          </w:p>
        </w:tc>
        <w:tc>
          <w:tcPr>
            <w:tcW w:w="4015" w:type="dxa"/>
          </w:tcPr>
          <w:p w14:paraId="0CED2238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强化学习框架定制化更强</w:t>
            </w:r>
          </w:p>
        </w:tc>
      </w:tr>
      <w:tr w14:paraId="484C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AD38B99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云服务</w:t>
            </w:r>
          </w:p>
        </w:tc>
        <w:tc>
          <w:tcPr>
            <w:tcW w:w="3740" w:type="dxa"/>
          </w:tcPr>
          <w:p w14:paraId="4759910D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错峰时段价格降至 50%</w:t>
            </w:r>
          </w:p>
        </w:tc>
        <w:tc>
          <w:tcPr>
            <w:tcW w:w="4015" w:type="dxa"/>
          </w:tcPr>
          <w:p w14:paraId="60497E9F">
            <w:pPr>
              <w:widowControl w:val="0"/>
              <w:bidi w:val="0"/>
            </w:pPr>
            <w:r>
              <w:rPr>
                <w:rFonts w:hint="default"/>
                <w:lang w:val="en-US" w:eastAsia="zh-CN"/>
              </w:rPr>
              <w:t>支持私有化部署+蒸馏小模型</w:t>
            </w:r>
          </w:p>
        </w:tc>
      </w:tr>
    </w:tbl>
    <w:p w14:paraId="73ABAF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创新方案：混合调用——用 V3 处理日常查询，R1 处理专业问题，平衡成本与效果。</w:t>
      </w:r>
    </w:p>
    <w:p w14:paraId="1EA96B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总结建议</w:t>
      </w:r>
    </w:p>
    <w:p w14:paraId="7D0A43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 V3：追求性价比、高并发、快速响应的通用场景（如电商/客服）。</w:t>
      </w:r>
    </w:p>
    <w:p w14:paraId="1FE5D8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 R1：强依赖逻辑链的垂直领域（如金融/科研），尽管成本高但 ROI 显著。</w:t>
      </w:r>
    </w:p>
    <w:p w14:paraId="47E3F5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混合方案：核心业务用 R1 处理复杂模块，边缘业务用 V3 降本。</w:t>
      </w:r>
    </w:p>
    <w:p w14:paraId="667F7E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小规模试水：通过 BytePlus 等平台领取免费 token 实测（R1 已上线 ModelArk）</w:t>
      </w:r>
      <w:r>
        <w:rPr>
          <w:rFonts w:hint="eastAsia"/>
          <w:lang w:val="en-US" w:eastAsia="zh-CN"/>
        </w:rPr>
        <w:t>。</w:t>
      </w:r>
    </w:p>
    <w:p w14:paraId="79CDB0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0F4CBC"/>
    <w:multiLevelType w:val="singleLevel"/>
    <w:tmpl w:val="CA0F4CB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85B3E75"/>
    <w:multiLevelType w:val="singleLevel"/>
    <w:tmpl w:val="D85B3E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F3D2B1"/>
    <w:multiLevelType w:val="singleLevel"/>
    <w:tmpl w:val="DFF3D2B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6439FE7"/>
    <w:multiLevelType w:val="singleLevel"/>
    <w:tmpl w:val="F6439FE7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F921354E"/>
    <w:multiLevelType w:val="singleLevel"/>
    <w:tmpl w:val="F921354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416769B"/>
    <w:multiLevelType w:val="singleLevel"/>
    <w:tmpl w:val="1416769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2D714243"/>
    <w:multiLevelType w:val="singleLevel"/>
    <w:tmpl w:val="2D71424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E06442F"/>
    <w:multiLevelType w:val="singleLevel"/>
    <w:tmpl w:val="7E06442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F58AF"/>
    <w:rsid w:val="03713232"/>
    <w:rsid w:val="439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beforeLines="0" w:beforeAutospacing="0" w:after="200" w:afterLines="0" w:afterAutospacing="0" w:line="360" w:lineRule="auto"/>
      <w:outlineLvl w:val="0"/>
    </w:pPr>
    <w:rPr>
      <w:b/>
      <w:kern w:val="44"/>
      <w:sz w:val="30"/>
    </w:rPr>
  </w:style>
  <w:style w:type="paragraph" w:styleId="3">
    <w:name w:val="heading 2"/>
    <w:basedOn w:val="1"/>
    <w:unhideWhenUsed/>
    <w:qFormat/>
    <w:uiPriority w:val="0"/>
    <w:pPr>
      <w:keepNext/>
      <w:keepLines/>
      <w:spacing w:before="80" w:beforeLines="0" w:beforeAutospacing="0" w:after="80" w:afterLines="0" w:afterAutospacing="0" w:line="36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40" w:beforeLines="0" w:beforeAutospacing="0" w:after="40" w:afterLines="0" w:afterAutospacing="0" w:line="360" w:lineRule="auto"/>
      <w:outlineLvl w:val="2"/>
    </w:pPr>
    <w:rPr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3"/>
    </w:pPr>
    <w:rPr>
      <w:rFonts w:ascii="Arial" w:hAnsi="Arial"/>
      <w:sz w:val="24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2025-08-15T05:16:00Z</dcterms:created>
  <dc:creator>吴兰兰</dc:creator>
  <cp:lastModifiedBy>吴兰兰</cp:lastModifiedBy>
  <dcterms:modified xsi:type="dcterms:W3CDTF">2025-08-15T05:19:44Z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5D1E3184E9164E82B5FEE6A15FD8020A_11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