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9B3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DeepSeek-R1企业级私有化部署方案</w:t>
      </w:r>
    </w:p>
    <w:p w14:paraId="5E2F2CB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步骤1：部署DeepSeek-R1 70B模型</w:t>
      </w:r>
    </w:p>
    <w:p w14:paraId="198B02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步骤2：构建部门知识库系统</w:t>
      </w:r>
    </w:p>
    <w:p w14:paraId="3C2713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步骤3：实现权限控制与共享审批</w:t>
      </w:r>
    </w:p>
    <w:p w14:paraId="33CBE1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步骤4：数据上传与知识库更新</w:t>
      </w:r>
    </w:p>
    <w:p w14:paraId="53A499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步骤5：异地访问方案</w:t>
      </w:r>
    </w:p>
    <w:p w14:paraId="03C5B3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 xml:space="preserve"> 注意：本方案假设企业有本地服务器（Ubuntu）和局域网环境。</w:t>
      </w:r>
    </w:p>
    <w:p w14:paraId="68A660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结合扬州总部服务器部署、苏州分公司异地访问、无局域网环境构建、数据安全与权限分割等核心需求，从技术选型到实施运维进行全面设计：</w:t>
      </w:r>
    </w:p>
    <w:p w14:paraId="705B5F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一、整体架构设计</w:t>
      </w:r>
    </w:p>
    <w:p w14:paraId="654852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57800" cy="2266950"/>
            <wp:effectExtent l="0" t="0" r="0" b="0"/>
            <wp:docPr id="3" name="图片 3" descr="deepseek_mermaid_20250801_f7cb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eepseek_mermaid_20250801_f7cbe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62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 w14:paraId="350298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/>
          <w:sz w:val="28"/>
          <w:szCs w:val="28"/>
          <w:lang w:val="en-US" w:eastAsia="zh-CN"/>
        </w:rPr>
        <w:t>硬件与基础设施方案</w:t>
      </w:r>
    </w:p>
    <w:p w14:paraId="28D1EA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（一）</w:t>
      </w:r>
      <w:r>
        <w:rPr>
          <w:rFonts w:hint="default"/>
          <w:sz w:val="28"/>
          <w:szCs w:val="28"/>
          <w:lang w:val="en-US" w:eastAsia="zh-CN"/>
        </w:rPr>
        <w:t>服务器选址与配置</w:t>
      </w:r>
    </w:p>
    <w:p w14:paraId="52208F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default"/>
          <w:sz w:val="28"/>
          <w:szCs w:val="28"/>
          <w:lang w:val="en-US" w:eastAsia="zh-CN"/>
        </w:rPr>
        <w:t>选址：优先部署于扬州算力中心（PUE≤1.26，已开通46.8Pflops算力）</w:t>
      </w:r>
    </w:p>
    <w:p w14:paraId="7C2543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</w:t>
      </w:r>
      <w:r>
        <w:rPr>
          <w:rFonts w:hint="default"/>
          <w:sz w:val="28"/>
          <w:szCs w:val="28"/>
          <w:lang w:val="en-US" w:eastAsia="zh-CN"/>
        </w:rPr>
        <w:t>硬件配置</w:t>
      </w:r>
      <w:r>
        <w:rPr>
          <w:rFonts w:hint="eastAsia"/>
          <w:sz w:val="28"/>
          <w:szCs w:val="28"/>
          <w:lang w:val="en-US" w:eastAsia="zh-CN"/>
        </w:rPr>
        <w:t>建议</w:t>
      </w:r>
      <w:r>
        <w:rPr>
          <w:rFonts w:hint="default"/>
          <w:sz w:val="28"/>
          <w:szCs w:val="28"/>
          <w:lang w:val="en-US" w:eastAsia="zh-CN"/>
        </w:rPr>
        <w:t>（按70B模型需求）：</w:t>
      </w:r>
    </w:p>
    <w:p w14:paraId="6E9EA5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GPU：4× NVIDIA A100 80GB（显存池≥320GB，满足FP16精度）</w:t>
      </w:r>
    </w:p>
    <w:p w14:paraId="112F55A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CPU：Intel Xeon Platinum 8360Y（64核/128线程）</w:t>
      </w:r>
    </w:p>
    <w:p w14:paraId="6648D91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存储：2TB NVMe SSD（模型权重）+ 10TB HDD（日志/知识库）</w:t>
      </w:r>
    </w:p>
    <w:p w14:paraId="7E1E5D2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网络：双万兆网卡（BGP智能线路，扬州-苏州延迟≤29ms）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2"/>
        <w:gridCol w:w="2438"/>
        <w:gridCol w:w="2330"/>
        <w:gridCol w:w="2402"/>
      </w:tblGrid>
      <w:tr w14:paraId="02936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0" w:type="dxa"/>
          </w:tcPr>
          <w:p w14:paraId="5BC8E1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组件</w:t>
            </w:r>
          </w:p>
        </w:tc>
        <w:tc>
          <w:tcPr>
            <w:tcW w:w="2446" w:type="dxa"/>
          </w:tcPr>
          <w:p w14:paraId="54F53D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入门级（10万预算）</w:t>
            </w:r>
          </w:p>
        </w:tc>
        <w:tc>
          <w:tcPr>
            <w:tcW w:w="2336" w:type="dxa"/>
          </w:tcPr>
          <w:p w14:paraId="191BF5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高性能（20万+预算）</w:t>
            </w:r>
          </w:p>
        </w:tc>
        <w:tc>
          <w:tcPr>
            <w:tcW w:w="2410" w:type="dxa"/>
          </w:tcPr>
          <w:p w14:paraId="386AB9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说明</w:t>
            </w:r>
          </w:p>
        </w:tc>
      </w:tr>
      <w:tr w14:paraId="4407C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</w:tcPr>
          <w:p w14:paraId="574CF7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GPU</w:t>
            </w:r>
          </w:p>
        </w:tc>
        <w:tc>
          <w:tcPr>
            <w:tcW w:w="2446" w:type="dxa"/>
          </w:tcPr>
          <w:p w14:paraId="560EAC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4× Tesla T4 (16GB/卡)</w:t>
            </w:r>
          </w:p>
        </w:tc>
        <w:tc>
          <w:tcPr>
            <w:tcW w:w="2336" w:type="dxa"/>
          </w:tcPr>
          <w:p w14:paraId="76358C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8× NVIDIA A100 80GB (NVLink互连)</w:t>
            </w:r>
          </w:p>
        </w:tc>
        <w:tc>
          <w:tcPr>
            <w:tcW w:w="2410" w:type="dxa"/>
          </w:tcPr>
          <w:p w14:paraId="352DE7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70B模型需FP16精度约140GB显存，T4需分布式并行；A100支持显存池化</w:t>
            </w:r>
          </w:p>
        </w:tc>
      </w:tr>
      <w:tr w14:paraId="1AC81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</w:tcPr>
          <w:p w14:paraId="5D57CD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CPU/RAM</w:t>
            </w:r>
          </w:p>
        </w:tc>
        <w:tc>
          <w:tcPr>
            <w:tcW w:w="2446" w:type="dxa"/>
          </w:tcPr>
          <w:p w14:paraId="5D8D2D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32核/128GB DDR4</w:t>
            </w:r>
          </w:p>
        </w:tc>
        <w:tc>
          <w:tcPr>
            <w:tcW w:w="2336" w:type="dxa"/>
          </w:tcPr>
          <w:p w14:paraId="799472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64核/512GB DDR4</w:t>
            </w:r>
          </w:p>
        </w:tc>
        <w:tc>
          <w:tcPr>
            <w:tcW w:w="2410" w:type="dxa"/>
          </w:tcPr>
          <w:p w14:paraId="48EE6F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高并发请求需大内存缓存数据</w:t>
            </w:r>
          </w:p>
        </w:tc>
      </w:tr>
      <w:tr w14:paraId="42237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</w:tcPr>
          <w:p w14:paraId="4298F9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存储</w:t>
            </w:r>
          </w:p>
        </w:tc>
        <w:tc>
          <w:tcPr>
            <w:tcW w:w="2446" w:type="dxa"/>
          </w:tcPr>
          <w:p w14:paraId="0CD759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2TB NVMe SSD</w:t>
            </w:r>
          </w:p>
        </w:tc>
        <w:tc>
          <w:tcPr>
            <w:tcW w:w="2336" w:type="dxa"/>
          </w:tcPr>
          <w:p w14:paraId="221C98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4TB NVMe SSD RAID 0</w:t>
            </w:r>
          </w:p>
        </w:tc>
        <w:tc>
          <w:tcPr>
            <w:tcW w:w="2410" w:type="dxa"/>
          </w:tcPr>
          <w:p w14:paraId="02A0BE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模型加载速度依赖IO性能，推荐NVMe</w:t>
            </w:r>
          </w:p>
        </w:tc>
      </w:tr>
      <w:tr w14:paraId="0E1A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</w:tcPr>
          <w:p w14:paraId="7CE7A7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网络</w:t>
            </w:r>
          </w:p>
        </w:tc>
        <w:tc>
          <w:tcPr>
            <w:tcW w:w="2446" w:type="dxa"/>
          </w:tcPr>
          <w:p w14:paraId="3BD92B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10Gbps内网带宽</w:t>
            </w:r>
          </w:p>
        </w:tc>
        <w:tc>
          <w:tcPr>
            <w:tcW w:w="2336" w:type="dxa"/>
          </w:tcPr>
          <w:p w14:paraId="3DFCDE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25Gbps+ RDMA网络</w:t>
            </w:r>
          </w:p>
        </w:tc>
        <w:tc>
          <w:tcPr>
            <w:tcW w:w="2410" w:type="dxa"/>
          </w:tcPr>
          <w:p w14:paraId="2896F8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分布式节点间通信需低延迟</w:t>
            </w:r>
          </w:p>
        </w:tc>
      </w:tr>
    </w:tbl>
    <w:p w14:paraId="2C9F80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2、</w:t>
      </w:r>
      <w:r>
        <w:rPr>
          <w:rFonts w:hint="eastAsia"/>
          <w:sz w:val="28"/>
          <w:szCs w:val="28"/>
          <w:lang w:val="en-US" w:eastAsia="zh-CN"/>
        </w:rPr>
        <w:t>环境要求：</w:t>
      </w:r>
    </w:p>
    <w:p w14:paraId="018AD0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Ubuntu 22.04 LTS：优化内核参数（net.core.somaxconn=1024）</w:t>
      </w:r>
    </w:p>
    <w:p w14:paraId="459806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CUDA11.8-12.1（需匹配vLLM版本）</w:t>
      </w:r>
    </w:p>
    <w:p w14:paraId="6DE6A6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NVIDIA驱动：&gt;525.85.05</w:t>
      </w:r>
    </w:p>
    <w:p w14:paraId="13A1B6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Docker20.10+（容器化部署推荐）</w:t>
      </w:r>
    </w:p>
    <w:p w14:paraId="0D857E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69865" cy="839470"/>
            <wp:effectExtent l="0" t="0" r="698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6C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Python3.10-3.12（vLLM版本依赖严格）</w:t>
      </w:r>
    </w:p>
    <w:p w14:paraId="65D7DE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（二）</w:t>
      </w:r>
      <w:r>
        <w:rPr>
          <w:rFonts w:hint="default"/>
          <w:sz w:val="28"/>
          <w:szCs w:val="28"/>
          <w:lang w:val="en-US" w:eastAsia="zh-CN"/>
        </w:rPr>
        <w:t>局域网下的网络架构</w:t>
      </w:r>
    </w:p>
    <w:p w14:paraId="452433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default"/>
          <w:sz w:val="28"/>
          <w:szCs w:val="28"/>
          <w:lang w:val="en-US" w:eastAsia="zh-CN"/>
        </w:rPr>
        <w:t>总部-分公司通信：</w:t>
      </w:r>
    </w:p>
    <w:p w14:paraId="4680EE4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采用IPSec VPN隧道加密传输，通过南通电信骨干节点降低跨城延迟</w:t>
      </w:r>
    </w:p>
    <w:p w14:paraId="4B7F775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配置动态QoS策略：业务高峰期优先保障vLLM API带宽</w:t>
      </w:r>
    </w:p>
    <w:p w14:paraId="0AF126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</w:t>
      </w:r>
      <w:r>
        <w:rPr>
          <w:rFonts w:hint="default"/>
          <w:sz w:val="28"/>
          <w:szCs w:val="28"/>
          <w:lang w:val="en-US" w:eastAsia="zh-CN"/>
        </w:rPr>
        <w:t>外部访问控制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0DE20D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仅开放HTTPS 443端口，通过Nginx网关实现：</w:t>
      </w:r>
    </w:p>
    <w:p w14:paraId="5A40D7B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苏州分公司IP白名单</w:t>
      </w:r>
    </w:p>
    <w:p w14:paraId="7697D4A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部门访问路径隔离（如 /api/rd 仅研发部可访问）</w:t>
      </w:r>
    </w:p>
    <w:p w14:paraId="3570B3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三、</w:t>
      </w:r>
      <w:r>
        <w:rPr>
          <w:rFonts w:hint="default"/>
          <w:sz w:val="28"/>
          <w:szCs w:val="28"/>
          <w:lang w:val="en-US" w:eastAsia="zh-CN"/>
        </w:rPr>
        <w:t>软件栈与部署流程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3000"/>
        <w:gridCol w:w="3843"/>
      </w:tblGrid>
      <w:tr w14:paraId="46EB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60BD3C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组件</w:t>
            </w:r>
          </w:p>
        </w:tc>
        <w:tc>
          <w:tcPr>
            <w:tcW w:w="3000" w:type="dxa"/>
          </w:tcPr>
          <w:p w14:paraId="63E859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选型说明</w:t>
            </w:r>
          </w:p>
        </w:tc>
        <w:tc>
          <w:tcPr>
            <w:tcW w:w="3843" w:type="dxa"/>
          </w:tcPr>
          <w:p w14:paraId="5517A6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优势</w:t>
            </w:r>
          </w:p>
        </w:tc>
      </w:tr>
      <w:tr w14:paraId="5D9A2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141852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操作系统</w:t>
            </w:r>
          </w:p>
        </w:tc>
        <w:tc>
          <w:tcPr>
            <w:tcW w:w="3000" w:type="dxa"/>
          </w:tcPr>
          <w:p w14:paraId="3174C4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Ubuntu 22.04 LTS</w:t>
            </w:r>
          </w:p>
        </w:tc>
        <w:tc>
          <w:tcPr>
            <w:tcW w:w="3843" w:type="dxa"/>
          </w:tcPr>
          <w:p w14:paraId="054E7D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对NVIDIA GPU驱动兼容性最佳，社区支持完善</w:t>
            </w:r>
          </w:p>
        </w:tc>
      </w:tr>
      <w:tr w14:paraId="61949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3E4A7D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容器化引擎</w:t>
            </w:r>
          </w:p>
        </w:tc>
        <w:tc>
          <w:tcPr>
            <w:tcW w:w="3000" w:type="dxa"/>
          </w:tcPr>
          <w:p w14:paraId="0B7323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Docker 24.0 + NVIDIA Container Toolkit</w:t>
            </w:r>
          </w:p>
        </w:tc>
        <w:tc>
          <w:tcPr>
            <w:tcW w:w="3843" w:type="dxa"/>
          </w:tcPr>
          <w:p w14:paraId="68CC46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支持GPU直通，隔离依赖环境</w:t>
            </w:r>
          </w:p>
        </w:tc>
      </w:tr>
      <w:tr w14:paraId="09B7D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034DE6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推理框架</w:t>
            </w:r>
          </w:p>
        </w:tc>
        <w:tc>
          <w:tcPr>
            <w:tcW w:w="3000" w:type="dxa"/>
          </w:tcPr>
          <w:p w14:paraId="1DEA9A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vLLM 0.3.2</w:t>
            </w:r>
          </w:p>
        </w:tc>
        <w:tc>
          <w:tcPr>
            <w:tcW w:w="3843" w:type="dxa"/>
          </w:tcPr>
          <w:p w14:paraId="48CFA8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支持异步批处理（batch_size=32），吞吐量提升5倍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，专注LLM推理的高效执行</w:t>
            </w:r>
          </w:p>
        </w:tc>
      </w:tr>
      <w:tr w14:paraId="0C510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73FBA9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模型底座</w:t>
            </w:r>
          </w:p>
        </w:tc>
        <w:tc>
          <w:tcPr>
            <w:tcW w:w="3000" w:type="dxa"/>
          </w:tcPr>
          <w:p w14:paraId="5B7E1D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DeepSeek-R1-70B</w:t>
            </w:r>
          </w:p>
        </w:tc>
        <w:tc>
          <w:tcPr>
            <w:tcW w:w="3843" w:type="dxa"/>
          </w:tcPr>
          <w:p w14:paraId="0885C5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中文理解能力强，支持16K上下文</w:t>
            </w:r>
          </w:p>
        </w:tc>
      </w:tr>
      <w:tr w14:paraId="03653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9" w:type="dxa"/>
          </w:tcPr>
          <w:p w14:paraId="655CA2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分布式启动</w:t>
            </w:r>
          </w:p>
        </w:tc>
        <w:tc>
          <w:tcPr>
            <w:tcW w:w="3000" w:type="dxa"/>
          </w:tcPr>
          <w:p w14:paraId="24662D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Ray集群</w:t>
            </w:r>
          </w:p>
        </w:tc>
        <w:tc>
          <w:tcPr>
            <w:tcW w:w="3843" w:type="dxa"/>
          </w:tcPr>
          <w:p w14:paraId="170565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分布式资源池化、任务调度和资源计算、容错与弹性伸缩</w:t>
            </w:r>
          </w:p>
        </w:tc>
      </w:tr>
    </w:tbl>
    <w:p w14:paraId="6CF2A7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准备资源（内网下）：</w:t>
      </w:r>
    </w:p>
    <w:p w14:paraId="598424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default"/>
          <w:sz w:val="28"/>
          <w:szCs w:val="28"/>
          <w:lang w:val="en-US" w:eastAsia="zh-CN"/>
        </w:rPr>
        <w:t>vllm的docker镜像（可以从docker hub 下载，使用docker save -o命令保存拿到内网服务器中）</w:t>
      </w:r>
    </w:p>
    <w:p w14:paraId="00E5F6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</w:t>
      </w:r>
      <w:r>
        <w:rPr>
          <w:rFonts w:hint="default"/>
          <w:sz w:val="28"/>
          <w:szCs w:val="28"/>
          <w:lang w:val="en-US" w:eastAsia="zh-CN"/>
        </w:rPr>
        <w:t>run_cluster.sh脚本（用来启动docker镜像和进行ray通信，下面会贴上目前在用的版本）</w:t>
      </w:r>
    </w:p>
    <w:p w14:paraId="29B4D9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</w:t>
      </w:r>
      <w:r>
        <w:rPr>
          <w:rFonts w:hint="default"/>
          <w:sz w:val="28"/>
          <w:szCs w:val="28"/>
          <w:lang w:val="en-US" w:eastAsia="zh-CN"/>
        </w:rPr>
        <w:t>模型文件（huggingface下载，国内可以用hf-mirror镜像站），需要下载到所有分布式机器的磁盘中，最好保持存储路径一致。</w:t>
      </w:r>
    </w:p>
    <w:p w14:paraId="612F8D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default"/>
          <w:sz w:val="28"/>
          <w:szCs w:val="28"/>
          <w:lang w:val="en-US" w:eastAsia="zh-CN"/>
        </w:rPr>
        <w:t>nvidia驱动、cuda等是必备的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5BEDC9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部署步骤：</w:t>
      </w:r>
    </w:p>
    <w:p w14:paraId="3F54F0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eastAsia"/>
          <w:sz w:val="28"/>
          <w:szCs w:val="28"/>
        </w:rPr>
        <w:t>载入vllm的docker镜像</w:t>
      </w:r>
    </w:p>
    <w:p w14:paraId="62EC93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 load -i vllm.tar</w:t>
      </w:r>
    </w:p>
    <w:p w14:paraId="5F9DDC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2、</w:t>
      </w:r>
      <w:r>
        <w:rPr>
          <w:rFonts w:hint="eastAsia"/>
          <w:sz w:val="28"/>
          <w:szCs w:val="28"/>
        </w:rPr>
        <w:t>编写脚本vi run_cluster.sh</w:t>
      </w:r>
    </w:p>
    <w:p w14:paraId="562E98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所有机器都使用如下脚本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附件1</w:t>
      </w:r>
      <w:r>
        <w:rPr>
          <w:rFonts w:hint="eastAsia"/>
          <w:sz w:val="28"/>
          <w:szCs w:val="28"/>
          <w:lang w:eastAsia="zh-CN"/>
        </w:rPr>
        <w:t>）</w:t>
      </w:r>
    </w:p>
    <w:p w14:paraId="10A526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3、</w:t>
      </w:r>
      <w:r>
        <w:rPr>
          <w:rFonts w:hint="eastAsia"/>
          <w:sz w:val="28"/>
          <w:szCs w:val="28"/>
        </w:rPr>
        <w:t>查看网卡信息</w:t>
      </w:r>
    </w:p>
    <w:p w14:paraId="3B6ADE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输入ip a</w:t>
      </w:r>
    </w:p>
    <w:p w14:paraId="2639CC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找到这台机器对应的编号，用在之后的启动命令中</w:t>
      </w:r>
    </w:p>
    <w:p w14:paraId="73247E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114300" distR="114300">
            <wp:extent cx="5273675" cy="952500"/>
            <wp:effectExtent l="0" t="0" r="3175" b="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0366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启动脚本（每台机器都需要启动，选择任意一台为主节点，其他为工作节点）</w:t>
      </w:r>
    </w:p>
    <w:p w14:paraId="6DE233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启动命令：（ --head为主机 --worker为其他机器使用，命令中的ip都需要填写主机的ip）</w:t>
      </w:r>
    </w:p>
    <w:p w14:paraId="01862D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主机脚本 bash run_cluster.sh vllm/vllm-openai:v0.6.4.post1 主机ip --head /data/vllm_model-v /data/vllm_model/:/model/ -e GLOO_SOCKET_IFNAME=ens13f0 -e NCCL_SOCKET_IFNAME=ens13f0</w:t>
      </w:r>
    </w:p>
    <w:p w14:paraId="24B281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工作机脚本 bash run_cluster.sh vllm/vllm-openai:v0.6.4.post1 主机ip --worker /data/vllm_model-v /data/vllm_model/:/model/ -e GLOO_SOCKET_IFNAME=ens13f0 -e NCCL_SOCKET_IFNAME=ens13f0</w:t>
      </w:r>
    </w:p>
    <w:p w14:paraId="1D48A9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后台运行 也可以通过nohup后台运行，如：nohup bash run_cluster.sh vllm/vllm-openai:v0.6.4.post1 主机ip --worker /data/vllm_model -v /data/vllm_model/:/model/-eGLOO_SOCKET_IFNAME=ens13f0-eNCCL_SOCKET_IFNAME=ens13f0 &gt;/ray_file 2&gt;&amp;1 &amp;</w:t>
      </w:r>
    </w:p>
    <w:p w14:paraId="67DCB6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/data/vllm_model为你模型文件的位置，如下图则启动成功</w:t>
      </w:r>
    </w:p>
    <w:p w14:paraId="4A304D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114300" distR="114300">
            <wp:extent cx="5268595" cy="1809750"/>
            <wp:effectExtent l="0" t="0" r="8255" b="0"/>
            <wp:docPr id="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46F6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5、</w:t>
      </w:r>
      <w:r>
        <w:rPr>
          <w:rFonts w:hint="eastAsia"/>
          <w:sz w:val="28"/>
          <w:szCs w:val="28"/>
        </w:rPr>
        <w:t>所有都成功启动后可以使用任何一台机器的ssh会话，因为已经通信，所以哪台机器都可以启动vllm。注意不要关闭任何一台机器的run_cluster启动的页面，</w:t>
      </w:r>
    </w:p>
    <w:p w14:paraId="115FC5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使用docker ps 查看运行的镜像</w:t>
      </w:r>
    </w:p>
    <w:p w14:paraId="05397E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进入镜像内部</w:t>
      </w:r>
    </w:p>
    <w:p w14:paraId="22FA0D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输入docker exec -it 镜像号 /bin/bash进入</w:t>
      </w:r>
    </w:p>
    <w:p w14:paraId="334DF2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输入ray status可以查看当前通信状态</w:t>
      </w:r>
    </w:p>
    <w:p w14:paraId="5AA334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114300" distR="114300">
            <wp:extent cx="5271135" cy="3312795"/>
            <wp:effectExtent l="0" t="0" r="5715" b="1905"/>
            <wp:docPr id="1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2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6B9F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6、</w:t>
      </w:r>
      <w:r>
        <w:rPr>
          <w:rFonts w:hint="eastAsia"/>
          <w:sz w:val="28"/>
          <w:szCs w:val="28"/>
        </w:rPr>
        <w:t>直接在docker中启动vllm</w:t>
      </w:r>
    </w:p>
    <w:p w14:paraId="311551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命令：vllm serve /model/DeepSeek-R1-Distill-Llama-70B</w:t>
      </w:r>
      <w:r>
        <w:rPr>
          <w:rFonts w:hint="eastAsia"/>
          <w:sz w:val="28"/>
          <w:szCs w:val="28"/>
          <w:lang w:val="en-US" w:eastAsia="zh-CN"/>
        </w:rPr>
        <w:t>\</w:t>
      </w:r>
    </w:p>
    <w:p w14:paraId="656F27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--tensor-parallel-size 4</w:t>
      </w:r>
      <w:r>
        <w:rPr>
          <w:rFonts w:hint="eastAsia"/>
          <w:sz w:val="28"/>
          <w:szCs w:val="28"/>
          <w:lang w:val="en-US" w:eastAsia="zh-CN"/>
        </w:rPr>
        <w:t>\</w:t>
      </w:r>
    </w:p>
    <w:p w14:paraId="228E0A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--pipeline-parallel-size 4</w:t>
      </w:r>
      <w:r>
        <w:rPr>
          <w:rFonts w:hint="eastAsia"/>
          <w:sz w:val="28"/>
          <w:szCs w:val="28"/>
          <w:lang w:val="en-US" w:eastAsia="zh-CN"/>
        </w:rPr>
        <w:t>\</w:t>
      </w:r>
    </w:p>
    <w:p w14:paraId="5FC3FC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--dtype=float16</w:t>
      </w:r>
    </w:p>
    <w:p w14:paraId="66E986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参数含义</w:t>
      </w:r>
    </w:p>
    <w:p w14:paraId="7DB397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 xml:space="preserve"> --tensor-parallel-size</w:t>
      </w:r>
    </w:p>
    <w:p w14:paraId="5B9EB2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这个参数表示 张量并行（Tensor Parallelism） 的规模。</w:t>
      </w:r>
    </w:p>
    <w:p w14:paraId="1C21FD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将一个神经网络的 权重矩阵 切分到多个 GPU 上。</w:t>
      </w:r>
    </w:p>
    <w:p w14:paraId="3B2DFA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通常用于切分 Transformer 中的 attention 或 FFN 层的权重。</w:t>
      </w:r>
    </w:p>
    <w:p w14:paraId="11CA46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例如设置为 4，意味着一个 attention 层的计算会被分成 4 份，在 4 个 GPU 上并行进行。</w:t>
      </w:r>
    </w:p>
    <w:p w14:paraId="0B4D65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适用于具有较大权重矩阵的模型，如 LLaMA、GPT 等，能充分利用多个 GPU 的显存和计算资源。</w:t>
      </w:r>
    </w:p>
    <w:p w14:paraId="337864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 xml:space="preserve"> --pipeline-parallel-size</w:t>
      </w:r>
    </w:p>
    <w:p w14:paraId="3802D0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这个参数表示 流水线并行（Pipeline Parallelism） 的规模。</w:t>
      </w:r>
    </w:p>
    <w:p w14:paraId="68EA36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将整个模型的 不同层 分配到不同的 GPU 上，形成一个“流水线”。</w:t>
      </w:r>
    </w:p>
    <w:p w14:paraId="46DDAF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每个 GPU 处理模型的一部分，然后把结果传给下一个 GPU。</w:t>
      </w:r>
    </w:p>
    <w:p w14:paraId="18A6C6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设置为 2 表示模型被分成 2 段，分别在两个 GPU 上依次运行。</w:t>
      </w:r>
    </w:p>
    <w:p w14:paraId="6E0AEC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适用于模型层数较多时进一步扩展模型到更多 GPU 上。</w:t>
      </w:r>
    </w:p>
    <w:p w14:paraId="428CDC4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构建知识库</w:t>
      </w:r>
    </w:p>
    <w:p w14:paraId="149780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企业构建知识库一般两种：</w:t>
      </w:r>
    </w:p>
    <w:p w14:paraId="7A8E14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1、</w:t>
      </w:r>
      <w:r>
        <w:rPr>
          <w:rFonts w:hint="default" w:cstheme="minorBidi"/>
          <w:kern w:val="2"/>
          <w:sz w:val="28"/>
          <w:szCs w:val="28"/>
          <w:lang w:val="en-US" w:eastAsia="zh-CN" w:bidi="ar-SA"/>
        </w:rPr>
        <w:t>微调（Fine-tuning）：将企业知识融入模型权重，效果持久但成本高，且无法动态更新。</w:t>
      </w:r>
    </w:p>
    <w:p w14:paraId="064F07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2、</w:t>
      </w:r>
      <w:r>
        <w:rPr>
          <w:rFonts w:hint="default" w:cstheme="minorBidi"/>
          <w:kern w:val="2"/>
          <w:sz w:val="28"/>
          <w:szCs w:val="28"/>
          <w:lang w:val="en-US" w:eastAsia="zh-CN" w:bidi="ar-SA"/>
        </w:rPr>
        <w:t>检索增强生成（RAG）：将企业知识存入向量数据库，在推理时实时检索相关片段作为上下文，更灵活且支持动态更新。</w:t>
      </w:r>
    </w:p>
    <w:p w14:paraId="218A31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初步阶段：RAG架构</w:t>
      </w:r>
    </w:p>
    <w:p w14:paraId="024FFE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1、整体架构：</w:t>
      </w:r>
    </w:p>
    <w:p w14:paraId="00D068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default" w:cstheme="minorBidi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36845" cy="970280"/>
            <wp:effectExtent l="0" t="0" r="1905" b="1270"/>
            <wp:docPr id="11" name="图片 11" descr="deepseek_mermaid_20250804_babf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eepseek_mermaid_20250804_babfa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98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、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核心组件部署</w:t>
      </w:r>
    </w:p>
    <w:p w14:paraId="0A23B3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（1）向量数据库选型与部署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3583"/>
        <w:gridCol w:w="3442"/>
      </w:tblGrid>
      <w:tr w14:paraId="2F975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7" w:type="dxa"/>
          </w:tcPr>
          <w:p w14:paraId="26AB62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 w:cstheme="minorBidi"/>
                <w:kern w:val="2"/>
                <w:sz w:val="28"/>
                <w:szCs w:val="28"/>
                <w:lang w:val="en-US" w:eastAsia="zh-CN" w:bidi="ar-SA"/>
              </w:rPr>
              <w:t>数据库</w:t>
            </w:r>
          </w:p>
        </w:tc>
        <w:tc>
          <w:tcPr>
            <w:tcW w:w="3583" w:type="dxa"/>
          </w:tcPr>
          <w:p w14:paraId="030E22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 w:cstheme="minorBidi"/>
                <w:kern w:val="2"/>
                <w:sz w:val="28"/>
                <w:szCs w:val="28"/>
                <w:lang w:val="en-US" w:eastAsia="zh-CN" w:bidi="ar-SA"/>
              </w:rPr>
              <w:t>优势</w:t>
            </w:r>
          </w:p>
        </w:tc>
        <w:tc>
          <w:tcPr>
            <w:tcW w:w="3442" w:type="dxa"/>
          </w:tcPr>
          <w:p w14:paraId="7BFCE8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 w:cstheme="minorBidi"/>
                <w:kern w:val="2"/>
                <w:sz w:val="28"/>
                <w:szCs w:val="28"/>
                <w:lang w:val="en-US" w:eastAsia="zh-CN" w:bidi="ar-SA"/>
              </w:rPr>
              <w:t>部署命令（Docker）</w:t>
            </w:r>
          </w:p>
        </w:tc>
      </w:tr>
      <w:tr w14:paraId="2CF05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7" w:type="dxa"/>
          </w:tcPr>
          <w:p w14:paraId="35607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 w:cstheme="minorBidi"/>
                <w:kern w:val="2"/>
                <w:sz w:val="28"/>
                <w:szCs w:val="28"/>
                <w:lang w:val="en-US" w:eastAsia="zh-CN" w:bidi="ar-SA"/>
              </w:rPr>
              <w:t>Milvus</w:t>
            </w:r>
          </w:p>
        </w:tc>
        <w:tc>
          <w:tcPr>
            <w:tcW w:w="3583" w:type="dxa"/>
          </w:tcPr>
          <w:p w14:paraId="51B6C1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 w:cstheme="minorBidi"/>
                <w:kern w:val="2"/>
                <w:sz w:val="28"/>
                <w:szCs w:val="28"/>
                <w:lang w:val="en-US" w:eastAsia="zh-CN" w:bidi="ar-SA"/>
              </w:rPr>
              <w:t>高性能分布式，支持GPU加速</w:t>
            </w:r>
          </w:p>
        </w:tc>
        <w:tc>
          <w:tcPr>
            <w:tcW w:w="3442" w:type="dxa"/>
          </w:tcPr>
          <w:p w14:paraId="420B42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 w:cstheme="minorBidi"/>
                <w:kern w:val="2"/>
                <w:sz w:val="28"/>
                <w:szCs w:val="28"/>
                <w:lang w:val="en-US" w:eastAsia="zh-CN" w:bidi="ar-SA"/>
              </w:rPr>
              <w:t>docker run -d --name milvus milvusdb/milvus</w:t>
            </w:r>
          </w:p>
        </w:tc>
      </w:tr>
      <w:tr w14:paraId="74527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7" w:type="dxa"/>
          </w:tcPr>
          <w:p w14:paraId="644BB2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 w:cstheme="minorBidi"/>
                <w:kern w:val="2"/>
                <w:sz w:val="28"/>
                <w:szCs w:val="28"/>
                <w:lang w:val="en-US" w:eastAsia="zh-CN" w:bidi="ar-SA"/>
              </w:rPr>
              <w:t>Qdrant</w:t>
            </w:r>
          </w:p>
        </w:tc>
        <w:tc>
          <w:tcPr>
            <w:tcW w:w="3583" w:type="dxa"/>
          </w:tcPr>
          <w:p w14:paraId="5ADEA2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 w:cstheme="minorBidi"/>
                <w:kern w:val="2"/>
                <w:sz w:val="28"/>
                <w:szCs w:val="28"/>
                <w:lang w:val="en-US" w:eastAsia="zh-CN" w:bidi="ar-SA"/>
              </w:rPr>
              <w:t>轻量级，Rust开发，低延迟</w:t>
            </w:r>
          </w:p>
        </w:tc>
        <w:tc>
          <w:tcPr>
            <w:tcW w:w="3442" w:type="dxa"/>
          </w:tcPr>
          <w:p w14:paraId="311BA7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 w:cstheme="minorBidi"/>
                <w:kern w:val="2"/>
                <w:sz w:val="28"/>
                <w:szCs w:val="28"/>
                <w:lang w:val="en-US" w:eastAsia="zh-CN" w:bidi="ar-SA"/>
              </w:rPr>
              <w:t>docker run -d -p 6333:6333 qdrant/qdrant</w:t>
            </w:r>
          </w:p>
        </w:tc>
      </w:tr>
      <w:tr w14:paraId="1FD3E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7" w:type="dxa"/>
          </w:tcPr>
          <w:p w14:paraId="395EB2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 w:cstheme="minorBidi"/>
                <w:kern w:val="2"/>
                <w:sz w:val="28"/>
                <w:szCs w:val="28"/>
                <w:lang w:val="en-US" w:eastAsia="zh-CN" w:bidi="ar-SA"/>
              </w:rPr>
              <w:t>PGVector</w:t>
            </w:r>
          </w:p>
        </w:tc>
        <w:tc>
          <w:tcPr>
            <w:tcW w:w="3583" w:type="dxa"/>
          </w:tcPr>
          <w:p w14:paraId="33C67F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 w:cstheme="minorBidi"/>
                <w:kern w:val="2"/>
                <w:sz w:val="28"/>
                <w:szCs w:val="28"/>
                <w:lang w:val="en-US" w:eastAsia="zh-CN" w:bidi="ar-SA"/>
              </w:rPr>
              <w:t>基于PostgreSQL，事务支持完善</w:t>
            </w:r>
          </w:p>
        </w:tc>
        <w:tc>
          <w:tcPr>
            <w:tcW w:w="3442" w:type="dxa"/>
          </w:tcPr>
          <w:p w14:paraId="45B748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 w:cstheme="minorBidi"/>
                <w:kern w:val="2"/>
                <w:sz w:val="28"/>
                <w:szCs w:val="28"/>
                <w:lang w:val="en-US" w:eastAsia="zh-CN" w:bidi="ar-SA"/>
              </w:rPr>
              <w:t>扩展PostgreSQL容器即可</w:t>
            </w:r>
          </w:p>
        </w:tc>
      </w:tr>
    </w:tbl>
    <w:p w14:paraId="28E505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default" w:cstheme="minorBidi"/>
          <w:kern w:val="2"/>
          <w:sz w:val="28"/>
          <w:szCs w:val="28"/>
          <w:lang w:val="en-US" w:eastAsia="zh-CN" w:bidi="ar-SA"/>
        </w:rPr>
        <w:t>企业级配置示例（Milvus集群）：</w:t>
      </w:r>
    </w:p>
    <w:p w14:paraId="39C12E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5420" cy="1332230"/>
            <wp:effectExtent l="0" t="0" r="1905" b="127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C47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（2）</w:t>
      </w:r>
      <w:r>
        <w:rPr>
          <w:rFonts w:hint="eastAsia"/>
          <w:sz w:val="28"/>
          <w:szCs w:val="28"/>
          <w:lang w:val="en-US" w:eastAsia="zh-CN"/>
        </w:rPr>
        <w:t>文档处理流水线（脚本见附件2）</w:t>
      </w:r>
    </w:p>
    <w:p w14:paraId="7B3A6A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3、</w:t>
      </w:r>
      <w:r>
        <w:rPr>
          <w:rFonts w:hint="default" w:cstheme="minorBidi"/>
          <w:kern w:val="2"/>
          <w:sz w:val="28"/>
          <w:szCs w:val="28"/>
          <w:lang w:val="en-US" w:eastAsia="zh-CN" w:bidi="ar-SA"/>
        </w:rPr>
        <w:t>RAG集成到推理服务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（脚本见附件3）</w:t>
      </w:r>
    </w:p>
    <w:p w14:paraId="36CF59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五、多部门知识隔离与共享</w:t>
      </w:r>
    </w:p>
    <w:p w14:paraId="0CEEF1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1、三层隔离模型</w:t>
      </w:r>
    </w:p>
    <w:p w14:paraId="4701CD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4657725"/>
            <wp:effectExtent l="0" t="0" r="635" b="0"/>
            <wp:docPr id="16" name="图片 16" descr="deepseek_mermaid_20250804_3d0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eepseek_mermaid_20250804_3d08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2FA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隔离级别定义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AE2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1E0DC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隔离级别</w:t>
            </w:r>
          </w:p>
        </w:tc>
        <w:tc>
          <w:tcPr>
            <w:tcW w:w="2130" w:type="dxa"/>
          </w:tcPr>
          <w:p w14:paraId="4980B7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适用场景</w:t>
            </w:r>
          </w:p>
        </w:tc>
        <w:tc>
          <w:tcPr>
            <w:tcW w:w="2131" w:type="dxa"/>
          </w:tcPr>
          <w:p w14:paraId="263AA6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实现方式</w:t>
            </w:r>
          </w:p>
        </w:tc>
        <w:tc>
          <w:tcPr>
            <w:tcW w:w="2131" w:type="dxa"/>
          </w:tcPr>
          <w:p w14:paraId="347AA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示例</w:t>
            </w:r>
          </w:p>
        </w:tc>
      </w:tr>
      <w:tr w14:paraId="468A8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7EB86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硬隔离</w:t>
            </w:r>
          </w:p>
        </w:tc>
        <w:tc>
          <w:tcPr>
            <w:tcW w:w="2130" w:type="dxa"/>
          </w:tcPr>
          <w:p w14:paraId="0FEBF1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高度敏感部门</w:t>
            </w:r>
          </w:p>
        </w:tc>
        <w:tc>
          <w:tcPr>
            <w:tcW w:w="2131" w:type="dxa"/>
          </w:tcPr>
          <w:p w14:paraId="3FA114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独立向量数据库实例+物理网络隔离</w:t>
            </w:r>
          </w:p>
        </w:tc>
        <w:tc>
          <w:tcPr>
            <w:tcW w:w="2131" w:type="dxa"/>
          </w:tcPr>
          <w:p w14:paraId="30F029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财务、法务部门</w:t>
            </w:r>
          </w:p>
        </w:tc>
      </w:tr>
      <w:tr w14:paraId="66E45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FA96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逻辑隔离</w:t>
            </w:r>
          </w:p>
        </w:tc>
        <w:tc>
          <w:tcPr>
            <w:tcW w:w="2130" w:type="dxa"/>
          </w:tcPr>
          <w:p w14:paraId="2832C5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常规部门</w:t>
            </w:r>
          </w:p>
        </w:tc>
        <w:tc>
          <w:tcPr>
            <w:tcW w:w="2131" w:type="dxa"/>
          </w:tcPr>
          <w:p w14:paraId="695EE5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单一向量库内独立集合+RBAC控制</w:t>
            </w:r>
          </w:p>
        </w:tc>
        <w:tc>
          <w:tcPr>
            <w:tcW w:w="2131" w:type="dxa"/>
          </w:tcPr>
          <w:p w14:paraId="583713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研发、市场部门</w:t>
            </w:r>
          </w:p>
        </w:tc>
      </w:tr>
      <w:tr w14:paraId="795D0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810D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软隔离</w:t>
            </w:r>
          </w:p>
        </w:tc>
        <w:tc>
          <w:tcPr>
            <w:tcW w:w="2130" w:type="dxa"/>
          </w:tcPr>
          <w:p w14:paraId="20BBE9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跨部门共享知识</w:t>
            </w:r>
          </w:p>
        </w:tc>
        <w:tc>
          <w:tcPr>
            <w:tcW w:w="2131" w:type="dxa"/>
          </w:tcPr>
          <w:p w14:paraId="05B636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共享集合+属性级访问控制</w:t>
            </w:r>
          </w:p>
        </w:tc>
        <w:tc>
          <w:tcPr>
            <w:tcW w:w="2131" w:type="dxa"/>
          </w:tcPr>
          <w:p w14:paraId="4708EE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公司制度、产品手册</w:t>
            </w:r>
          </w:p>
        </w:tc>
      </w:tr>
      <w:tr w14:paraId="56428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52795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沙盒隔离</w:t>
            </w:r>
          </w:p>
        </w:tc>
        <w:tc>
          <w:tcPr>
            <w:tcW w:w="2130" w:type="dxa"/>
          </w:tcPr>
          <w:p w14:paraId="5DAD93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临时项目组</w:t>
            </w:r>
          </w:p>
        </w:tc>
        <w:tc>
          <w:tcPr>
            <w:tcW w:w="2131" w:type="dxa"/>
          </w:tcPr>
          <w:p w14:paraId="11AAAE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动态创建虚拟知识库+生命周期管理</w:t>
            </w:r>
          </w:p>
        </w:tc>
        <w:tc>
          <w:tcPr>
            <w:tcW w:w="2131" w:type="dxa"/>
          </w:tcPr>
          <w:p w14:paraId="4732C3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跨部门项目组</w:t>
            </w:r>
          </w:p>
        </w:tc>
      </w:tr>
    </w:tbl>
    <w:p w14:paraId="128DD4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部门级知识库实现方案</w:t>
      </w:r>
    </w:p>
    <w:p w14:paraId="76DAEA2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向量数据库多租户配置</w:t>
      </w:r>
    </w:p>
    <w:p w14:paraId="0F5983C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动态访问控制中间件</w:t>
      </w:r>
    </w:p>
    <w:p w14:paraId="0A7265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</w:p>
    <w:p w14:paraId="2BD160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五、异地调用模型</w:t>
      </w:r>
    </w:p>
    <w:p w14:paraId="5E1A68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1、跨地域架构设计（例子）</w:t>
      </w:r>
    </w:p>
    <w:p w14:paraId="72CA00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367530" cy="5841365"/>
            <wp:effectExtent l="0" t="0" r="4445" b="6985"/>
            <wp:docPr id="14" name="图片 14" descr="deepseek_mermaid_20250804_981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eepseek_mermaid_20250804_981b4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E2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2、</w:t>
      </w:r>
      <w:r>
        <w:rPr>
          <w:rFonts w:hint="eastAsia"/>
          <w:sz w:val="28"/>
          <w:szCs w:val="28"/>
          <w:lang w:val="en-US" w:eastAsia="zh-CN"/>
        </w:rPr>
        <w:t>关键技术</w:t>
      </w:r>
    </w:p>
    <w:p w14:paraId="55B7DE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（1）</w:t>
      </w:r>
      <w:r>
        <w:rPr>
          <w:rFonts w:hint="eastAsia"/>
          <w:sz w:val="28"/>
          <w:szCs w:val="28"/>
          <w:lang w:val="en-US" w:eastAsia="zh-CN"/>
        </w:rPr>
        <w:t>安全访问（Nginx）</w:t>
      </w:r>
    </w:p>
    <w:p w14:paraId="492D6D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（2）</w:t>
      </w:r>
      <w:r>
        <w:rPr>
          <w:rFonts w:hint="eastAsia"/>
          <w:sz w:val="28"/>
          <w:szCs w:val="28"/>
          <w:lang w:val="en-US" w:eastAsia="zh-CN"/>
        </w:rPr>
        <w:t>低延迟缓存（Redis）</w:t>
      </w:r>
    </w:p>
    <w:p w14:paraId="538468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（3）</w:t>
      </w:r>
      <w:r>
        <w:rPr>
          <w:rFonts w:hint="eastAsia"/>
          <w:sz w:val="28"/>
          <w:szCs w:val="28"/>
          <w:lang w:val="en-US" w:eastAsia="zh-CN"/>
        </w:rPr>
        <w:t>协议优化（QUIC）</w:t>
      </w:r>
    </w:p>
    <w:p w14:paraId="432C94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六、企业数据上传</w:t>
      </w:r>
    </w:p>
    <w:p w14:paraId="56A6BE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1、安全上传架构</w:t>
      </w:r>
    </w:p>
    <w:p w14:paraId="58189C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40655" cy="1932305"/>
            <wp:effectExtent l="0" t="0" r="7620" b="1270"/>
            <wp:docPr id="15" name="图片 15" descr="deepseek_mermaid_20250804_cfcd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eepseek_mermaid_20250804_cfcd3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D1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、</w:t>
      </w:r>
      <w:r>
        <w:rPr>
          <w:rFonts w:hint="eastAsia"/>
          <w:sz w:val="28"/>
          <w:szCs w:val="28"/>
          <w:lang w:val="en-US" w:eastAsia="zh-CN"/>
        </w:rPr>
        <w:t>核心代码</w:t>
      </w:r>
    </w:p>
    <w:p w14:paraId="4581FA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（1）安全上传接口</w:t>
      </w:r>
    </w:p>
    <w:p w14:paraId="56851A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（2）自动处理流水线</w:t>
      </w:r>
    </w:p>
    <w:p w14:paraId="6E8ACD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3、企业安全措施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5"/>
        <w:gridCol w:w="5977"/>
      </w:tblGrid>
      <w:tr w14:paraId="007B7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45" w:type="dxa"/>
          </w:tcPr>
          <w:p w14:paraId="5F6969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安全层</w:t>
            </w:r>
          </w:p>
        </w:tc>
        <w:tc>
          <w:tcPr>
            <w:tcW w:w="5977" w:type="dxa"/>
          </w:tcPr>
          <w:p w14:paraId="1739AE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实施措施</w:t>
            </w:r>
          </w:p>
        </w:tc>
      </w:tr>
      <w:tr w14:paraId="60941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</w:tcPr>
          <w:p w14:paraId="2BFBB4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传输安全</w:t>
            </w:r>
          </w:p>
        </w:tc>
        <w:tc>
          <w:tcPr>
            <w:tcW w:w="5977" w:type="dxa"/>
          </w:tcPr>
          <w:p w14:paraId="77734C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TLS 1.3 + 双向证书认证</w:t>
            </w:r>
          </w:p>
        </w:tc>
      </w:tr>
      <w:tr w14:paraId="3FA19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</w:tcPr>
          <w:p w14:paraId="7BE9F2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数据加密</w:t>
            </w:r>
          </w:p>
        </w:tc>
        <w:tc>
          <w:tcPr>
            <w:tcW w:w="5977" w:type="dxa"/>
          </w:tcPr>
          <w:p w14:paraId="093EE9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AES-256 文件加密（密钥由HSM管理）</w:t>
            </w:r>
          </w:p>
        </w:tc>
      </w:tr>
      <w:tr w14:paraId="128B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</w:tcPr>
          <w:p w14:paraId="600FF0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访问控制</w:t>
            </w:r>
          </w:p>
        </w:tc>
        <w:tc>
          <w:tcPr>
            <w:tcW w:w="5977" w:type="dxa"/>
          </w:tcPr>
          <w:p w14:paraId="2B2102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RBAC模型：按部门/角色分配上传权限</w:t>
            </w:r>
          </w:p>
        </w:tc>
      </w:tr>
      <w:tr w14:paraId="3D23C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</w:tcPr>
          <w:p w14:paraId="4F2521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审计追踪</w:t>
            </w:r>
          </w:p>
        </w:tc>
        <w:tc>
          <w:tcPr>
            <w:tcW w:w="5977" w:type="dxa"/>
          </w:tcPr>
          <w:p w14:paraId="159E22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所有操作日志存入ELK（保留180天）</w:t>
            </w:r>
          </w:p>
        </w:tc>
      </w:tr>
      <w:tr w14:paraId="08A0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</w:tcPr>
          <w:p w14:paraId="56AAF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防泄漏</w:t>
            </w:r>
          </w:p>
        </w:tc>
        <w:tc>
          <w:tcPr>
            <w:tcW w:w="5977" w:type="dxa"/>
          </w:tcPr>
          <w:p w14:paraId="7F601F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文档水印 + DLPP（数据丢失防护）扫描敏感信息</w:t>
            </w:r>
          </w:p>
        </w:tc>
      </w:tr>
    </w:tbl>
    <w:p w14:paraId="6634BBF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7928CD"/>
    <w:multiLevelType w:val="singleLevel"/>
    <w:tmpl w:val="A57928C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C86CC77"/>
    <w:multiLevelType w:val="singleLevel"/>
    <w:tmpl w:val="BC86CC7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1A55EEA"/>
    <w:multiLevelType w:val="singleLevel"/>
    <w:tmpl w:val="11A55EEA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1E90E16A"/>
    <w:multiLevelType w:val="singleLevel"/>
    <w:tmpl w:val="1E90E16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4EFC73DA"/>
    <w:multiLevelType w:val="singleLevel"/>
    <w:tmpl w:val="4EFC73D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81C27"/>
    <w:rsid w:val="4A28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2025-08-04T01:47:00Z</dcterms:created>
  <dc:creator>吴兰兰</dc:creator>
  <cp:lastModifiedBy>吴兰兰</cp:lastModifiedBy>
  <dcterms:modified xsi:type="dcterms:W3CDTF">2025-08-04T09:02:10Z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D8330667B3874FC9BE3F3475B6166DDA_11</vt:lpwstr>
  </property>
  <property fmtid="{D5CDD505-2E9C-101B-9397-08002B2CF9AE}" pid="4" name="KSOTemplateDocerSaveRecord">
    <vt:lpwstr>eyJoZGlkIjoiNTE2MzhjMTU1MDBmOTcxNWRkNmFmODUwNTZlMzNlMTAiLCJ1c2VySWQiOiIxNzE5MzIwNjYzIn0=</vt:lpwstr>
  </property>
</Properties>
</file>