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北京银行</w:t>
      </w:r>
    </w:p>
    <w:p>
      <w:pPr>
        <w:spacing w:after="400" w:line="400" w:lineRule="atLeast"/>
      </w:pPr>
      <w:r>
        <w:t xml:space="preserve">2025年2月8日消息，北京银行今日宣布全面启动“all in AI”战略，携手华为率先实现 DeepSeek 全栈国产化金融应用，致力于打造“人工智能驱动的商业银行”的北京银行。近年来，北京银行在大模型建设与应用方面持续深耕，产研联动，打造了全栈国产化的大模型应用平台，搭建“4+N”全栈国产化大模型应用体系：涵盖全栈国产化算力底座，为大模型运行提供稳定的硬件支撑；企业级知识库，整合海量金融数据与知识；“京翼”MaaS平台，实现模型即服务的便捷应用模式，部署了10余个大模型；“京骑”Agent的应用平台，推动智能化交互应用的发展。</w:t>
      </w:r>
    </w:p>
    <w:p>
      <w:pPr>
        <w:spacing w:after="400" w:line="400" w:lineRule="atLeast"/>
      </w:pPr>
      <w:r>
        <w:t xml:space="preserve">北京银行表示，基于昇腾系列 AI 服务器、华为 MindIE 推理引擎完成了 DeepSeek V3 和 R1 满血模型、R1 蒸馏模型和 Janus Pro 多模态模型推理任务的快速部署和推理加速调优，并针对 DeepSeek 模型 MoE、MLA 等技术特点，持续开展并行调度、MTP、融合算子等优化方向的推进，率先实现 DeepSeek 全栈国产化金融应用。是如何部署deepseek</w:t>
      </w:r>
    </w:p>
    <w:p>
      <w:pPr>
        <w:pStyle w:val="Heading2"/>
        <w:spacing w:after="400" w:line="400" w:lineRule="atLeast"/>
      </w:pPr>
      <w:r>
        <w:t>回答</w:t>
      </w:r>
    </w:p>
    <w:p>
      <w:pPr>
        <w:spacing w:after="400" w:line="400" w:lineRule="atLeast"/>
      </w:pPr>
      <w:r>
        <w:t xml:space="preserve">北京银行在2025年2月8日宣布全面启动“all in AI”战略，并与华为合作，率先实现了DeepSeek全栈国产化金融应用。这一战略的实施标志着北京银行在人工智能驱动的商业银行建设方面迈出了重要一步。以下是北京银行如何部署DeepSeek的详细分析：</w:t>
      </w:r>
    </w:p>
    <w:p>
      <w:pPr>
        <w:spacing w:after="400" w:line="400" w:lineRule="atLeast"/>
      </w:pPr>
      <w:r>
        <w:rPr>
          <w:b/>
          <w:sz w:val="30"/>
        </w:rPr>
        <w:t xml:space="preserve">1. </w:t>
      </w:r>
      <w:r>
        <w:rPr>
          <w:b w:val="true"/>
          <w:sz w:val="30"/>
        </w:rPr>
        <w:t>合作基础与硬件支持</w:t>
      </w:r>
    </w:p>
    <w:p>
      <w:pPr>
        <w:spacing w:after="400" w:line="400" w:lineRule="atLeast"/>
      </w:pPr>
      <w:r>
        <w:t>北京银行与华为的合作是其部署DeepSeek模型的关键。华为提供了昇腾系列AI服务器和MindIE推理引擎，为DeepSeek模型的快速部署和推理加速提供了强大的硬件支持[1][3][7]。昇腾系列AI服务器作为国产AI芯片的代表，具备高性能计算能力，能够有效支持DeepSeek模型的运行和优化。此外，华为MindIE推理引擎则进一步提升了模型的推理效率，确保了模型在金融场景中的高效应用[1][3][7]。</w:t>
      </w:r>
    </w:p>
    <w:p>
      <w:pPr>
        <w:spacing w:after="400" w:line="400" w:lineRule="atLeast"/>
      </w:pPr>
      <w:r>
        <w:rPr>
          <w:b/>
          <w:sz w:val="30"/>
        </w:rPr>
        <w:t xml:space="preserve">2. </w:t>
      </w:r>
      <w:r>
        <w:rPr>
          <w:b w:val="true"/>
          <w:sz w:val="30"/>
        </w:rPr>
        <w:t>模型部署与优化</w:t>
      </w:r>
    </w:p>
    <w:p>
      <w:pPr>
        <w:spacing w:after="400" w:line="400" w:lineRule="atLeast"/>
      </w:pPr>
      <w:r>
        <w:t xml:space="preserve">北京银行基于昇腾系列AI服务器和华为MindIE推理引擎，完成了DeepSeek V3、R1满血模型、R1蒸馏模型以及Janus Pro多模态模型的快速部署和推理加速调优[1][3][7]。这些模型的部署不仅涵盖了模型的推理任务，还针对DeepSeek模型的MoE（混合专家架构）和MLA（多头潜在注意力机制）等技术特点，进行了并行调度、MTP（多任务处理）和融合算子等优化方向的推进[1][3][7]。这些优化措施显著提升了模型的计算效率和性能表现，使其在金融领域的应用更加高效和稳定。</w:t>
      </w:r>
    </w:p>
    <w:p>
      <w:pPr>
        <w:spacing w:after="400" w:line="400" w:lineRule="atLeast"/>
      </w:pPr>
      <w:r>
        <w:rPr>
          <w:b/>
          <w:sz w:val="30"/>
        </w:rPr>
        <w:t xml:space="preserve">3. </w:t>
      </w:r>
      <w:r>
        <w:rPr>
          <w:b w:val="true"/>
          <w:sz w:val="30"/>
        </w:rPr>
        <w:t>全栈国产化平台建设</w:t>
      </w:r>
    </w:p>
    <w:p>
      <w:pPr>
        <w:spacing w:after="400" w:line="400" w:lineRule="atLeast"/>
      </w:pPr>
      <w:r>
        <w:t>北京银行在部署DeepSeek模型的同时，还构建了全栈国产化的大模型应用平台，形成了“4+N”全栈国产化大模型应用体系[1][2][9]。该体系包括：</w:t>
      </w:r>
    </w:p>
    <w:p>
      <w:pPr>
        <w:numPr>
          <w:ilvl w:val="-1"/>
          <w:numId w:val="1"/>
        </w:numPr>
        <w:spacing w:after="400" w:line="400" w:lineRule="atLeast"/>
      </w:pPr>
      <w:r>
        <w:rPr>
          <w:b w:val="true"/>
        </w:rPr>
        <w:t>全栈国产化算力底座</w:t>
      </w:r>
      <w:r>
        <w:t>：为大模型运行提供稳定的硬件支撑。</w:t>
      </w:r>
    </w:p>
    <w:p>
      <w:pPr>
        <w:numPr>
          <w:ilvl w:val="-1"/>
          <w:numId w:val="1"/>
        </w:numPr>
        <w:spacing w:after="400" w:line="400" w:lineRule="atLeast"/>
      </w:pPr>
      <w:r>
        <w:rPr>
          <w:b w:val="true"/>
        </w:rPr>
        <w:t>企业级知识库</w:t>
      </w:r>
      <w:r>
        <w:t>：整合海量金融数据与知识，提升模型的智能化水平。</w:t>
      </w:r>
    </w:p>
    <w:p>
      <w:pPr>
        <w:numPr>
          <w:ilvl w:val="-1"/>
          <w:numId w:val="1"/>
        </w:numPr>
        <w:spacing w:after="400" w:line="400" w:lineRule="atLeast"/>
      </w:pPr>
      <w:r>
        <w:rPr>
          <w:b w:val="true"/>
        </w:rPr>
        <w:t>“京翼”MaaS平台</w:t>
      </w:r>
      <w:r>
        <w:t>：实现模型即服务的便捷应用模式，部署了10余个大模型。</w:t>
      </w:r>
    </w:p>
    <w:p>
      <w:pPr>
        <w:numPr>
          <w:ilvl w:val="-1"/>
          <w:numId w:val="1"/>
        </w:numPr>
        <w:spacing w:after="400" w:line="400" w:lineRule="atLeast"/>
      </w:pPr>
      <w:r>
        <w:rPr>
          <w:b w:val="true"/>
        </w:rPr>
        <w:t>“京骑”Agent应用平台</w:t>
      </w:r>
      <w:r>
        <w:t>：推动智能化交互应用的发展，提升客户服务和运营效率[1][2][9]。</w:t>
      </w:r>
    </w:p>
    <w:p>
      <w:pPr>
        <w:spacing w:after="400" w:line="400" w:lineRule="atLeast"/>
      </w:pPr>
      <w:r>
        <w:rPr>
          <w:b/>
          <w:sz w:val="30"/>
        </w:rPr>
        <w:t xml:space="preserve">4. </w:t>
      </w:r>
      <w:r>
        <w:rPr>
          <w:b w:val="true"/>
          <w:sz w:val="30"/>
        </w:rPr>
        <w:t>应用场景与业务落地</w:t>
      </w:r>
    </w:p>
    <w:p>
      <w:pPr>
        <w:spacing w:after="400" w:line="400" w:lineRule="atLeast"/>
      </w:pPr>
      <w:r>
        <w:t>北京银行将DeepSeek模型应用于多个关键业务场景，包括信贷、营销、运营、合规、审计等[1][7][9]。例如，通过AIB小京智能体、“京信妙笔”智能报告等工具，北京银行在信贷审批、客户营销、风险控制等方面实现了智能化升级。此外，DeepSeek模型还被应用于“京行研究”、“京行智库”、“客服助手”、“京客图谱”等多个平台，显著提升了知识驱动的模型服务质量和效率[1][7][9]。</w:t>
      </w:r>
    </w:p>
    <w:p>
      <w:pPr>
        <w:spacing w:after="400" w:line="400" w:lineRule="atLeast"/>
      </w:pPr>
      <w:r>
        <w:rPr>
          <w:b/>
          <w:sz w:val="30"/>
        </w:rPr>
        <w:t xml:space="preserve">5. </w:t>
      </w:r>
      <w:r>
        <w:rPr>
          <w:b w:val="true"/>
          <w:sz w:val="30"/>
        </w:rPr>
        <w:t>战略意义与未来展望</w:t>
      </w:r>
    </w:p>
    <w:p>
      <w:pPr>
        <w:spacing w:after="400" w:line="400" w:lineRule="atLeast"/>
      </w:pPr>
      <w:r>
        <w:t xml:space="preserve">北京银行的“all in AI”战略不仅是一次技术上的突破，更是其在金融行业数字化转型中的重要战略举措。通过与华为的合作，北京银行率先实现了DeepSeek全栈国产化金融应用，为其他金融机构提供了可借鉴的经验[1][2][7]。未来，北京银行将继续深化AI技术的应用，推动“人工智能驱动的商业银行”建设，为客户提供更加智能、高效、安全的金融服务[1][2][7]。</w:t>
      </w:r>
    </w:p>
    <w:p>
      <w:pPr>
        <w:spacing w:after="400" w:line="400" w:lineRule="atLeast"/>
      </w:pPr>
      <w:r>
        <w:rPr>
          <w:b/>
          <w:sz w:val="30"/>
        </w:rPr>
        <w:t xml:space="preserve">6. </w:t>
      </w:r>
      <w:r>
        <w:rPr>
          <w:b w:val="true"/>
          <w:sz w:val="30"/>
        </w:rPr>
        <w:t>行业影响与生态建设</w:t>
      </w:r>
    </w:p>
    <w:p>
      <w:pPr>
        <w:spacing w:after="400" w:line="400" w:lineRule="atLeast"/>
      </w:pPr>
      <w:r>
        <w:t>北京银行的DeepSeek部署不仅推动了自身业务的智能化升级，也为整个金融行业的AI应用生态建设提供了重要支持。DeepSeek作为开源大模型，其在金融领域的广泛应用，不仅提升了金融机构的技术实力和市场竞争力，还促进了AI技术的普及和应用[14][16]。此外，DeepSeek的部署还带动了国产AI芯片和云计算平台的发展，为AI技术的国产化进程提供了有力支撑[19][20]。</w:t>
      </w:r>
    </w:p>
    <w:p>
      <w:pPr>
        <w:spacing w:after="400" w:line="400" w:lineRule="atLeast"/>
      </w:pPr>
    </w:p>
    <w:p>
      <w:pPr>
        <w:spacing w:after="400" w:line="400" w:lineRule="atLeast"/>
      </w:pPr>
      <w:r>
        <w:rPr>
          <w:b/>
          <w:sz w:val="30"/>
        </w:rPr>
        <w:t>结论</w:t>
      </w:r>
    </w:p>
    <w:p>
      <w:pPr>
        <w:spacing w:after="400" w:line="400" w:lineRule="atLeast"/>
      </w:pPr>
      <w:r>
        <w:t>北京银行通过与华为的合作，成功实现了DeepSeek全栈国产化金融应用的部署。这一部署不仅依托于强大的硬件支持和模型优化，还通过构建全栈国产化平台，推动了AI技术在金融领域的广泛应用。未来，北京银行将继续深化AI技术的应用，为打造“人工智能驱动的商业银行”奠定坚实基础。</w:t>
      </w:r>
    </w:p>
    <w:p>
      <w:pPr>
        <w:pStyle w:val="Heading2"/>
        <w:spacing w:after="400" w:line="400" w:lineRule="atLeast"/>
      </w:pPr>
      <w:r>
        <w:t>相关事件</w:t>
      </w:r>
    </w:p>
    <w:tb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074"/>
        <w:gridCol w:w="2074"/>
        <w:gridCol w:w="2074"/>
        <w:gridCol w:w="2074"/>
      </w:tblGrid>
      <w:tr>
        <w:tc>
          <w:tcPr>
            <w:tcW w:w="2074" w:type="dxa"/>
            <w:tcBorders/>
          </w:tcPr>
          <w:p>
            <w:pPr>
              <w:spacing w:after="400" w:line="400" w:lineRule="exact"/>
            </w:pPr>
            <w:r>
              <w:rPr>
                <w:b w:val="true"/>
              </w:rPr>
              <w:t>事件名称</w:t>
            </w:r>
          </w:p>
        </w:tc>
        <w:tc>
          <w:tcPr>
            <w:tcW w:w="2074" w:type="dxa"/>
            <w:tcBorders/>
          </w:tcPr>
          <w:p>
            <w:pPr>
              <w:spacing w:after="400" w:line="400" w:lineRule="exact"/>
            </w:pPr>
            <w:r>
              <w:rPr>
                <w:b w:val="true"/>
              </w:rPr>
              <w:t>事件时间</w:t>
            </w:r>
          </w:p>
        </w:tc>
        <w:tc>
          <w:tcPr>
            <w:tcW w:w="2074" w:type="dxa"/>
            <w:tcBorders/>
          </w:tcPr>
          <w:p>
            <w:pPr>
              <w:spacing w:after="400" w:line="400" w:lineRule="exact"/>
            </w:pPr>
            <w:r>
              <w:rPr>
                <w:b w:val="true"/>
              </w:rPr>
              <w:t>事件概述</w:t>
            </w:r>
          </w:p>
        </w:tc>
        <w:tc>
          <w:tcPr>
            <w:tcW w:w="2074" w:type="dxa"/>
            <w:tcBorders/>
          </w:tcPr>
          <w:p>
            <w:pPr>
              <w:spacing w:after="400" w:line="400" w:lineRule="exact"/>
            </w:pPr>
            <w:r>
              <w:rPr>
                <w:b w:val="true"/>
              </w:rPr>
              <w:t>类型</w:t>
            </w:r>
          </w:p>
        </w:tc>
      </w:tr>
      <w:tr>
        <w:tc>
          <w:tcPr>
            <w:tcW w:w="2074" w:type="dxa"/>
            <w:tcBorders/>
          </w:tcPr>
          <w:p>
            <w:pPr>
              <w:spacing w:after="400" w:line="400" w:lineRule="exact"/>
            </w:pPr>
            <w:r>
              <w:t xml:space="preserve">北京银行启动“all in AI”战略</w:t>
            </w:r>
          </w:p>
        </w:tc>
        <w:tc>
          <w:tcPr>
            <w:tcW w:w="2074" w:type="dxa"/>
            <w:tcBorders/>
          </w:tcPr>
          <w:p>
            <w:pPr>
              <w:spacing w:after="400" w:line="400" w:lineRule="exact"/>
            </w:pPr>
            <w:r>
              <w:t>2025-02</w:t>
            </w:r>
          </w:p>
        </w:tc>
        <w:tc>
          <w:tcPr>
            <w:tcW w:w="2074" w:type="dxa"/>
            <w:tcBorders/>
          </w:tcPr>
          <w:p>
            <w:pPr>
              <w:spacing w:after="400" w:line="400" w:lineRule="exact"/>
            </w:pPr>
            <w:r>
              <w:t xml:space="preserve">北京银行宣布全面启动“all in AI”战略，与华为合作实现DeepSeek全栈国产化金融应用。</w:t>
            </w:r>
          </w:p>
        </w:tc>
        <w:tc>
          <w:tcPr>
            <w:tcW w:w="2074" w:type="dxa"/>
            <w:tcBorders/>
          </w:tcPr>
          <w:p>
            <w:pPr>
              <w:spacing w:after="400" w:line="400" w:lineRule="exact"/>
            </w:pPr>
            <w:r>
              <w:t>科技合作</w:t>
            </w:r>
          </w:p>
        </w:tc>
      </w:tr>
      <w:tr>
        <w:tc>
          <w:tcPr>
            <w:tcW w:w="2074" w:type="dxa"/>
            <w:tcBorders/>
          </w:tcPr>
          <w:p>
            <w:pPr>
              <w:spacing w:after="400" w:line="400" w:lineRule="exact"/>
            </w:pPr>
            <w:r>
              <w:t>北京银行与华为合作部署DeepSeek模型</w:t>
            </w:r>
          </w:p>
        </w:tc>
        <w:tc>
          <w:tcPr>
            <w:tcW w:w="2074" w:type="dxa"/>
            <w:tcBorders/>
          </w:tcPr>
          <w:p>
            <w:pPr>
              <w:spacing w:after="400" w:line="400" w:lineRule="exact"/>
            </w:pPr>
            <w:r>
              <w:t>2024年底至2025年初</w:t>
            </w:r>
          </w:p>
        </w:tc>
        <w:tc>
          <w:tcPr>
            <w:tcW w:w="2074" w:type="dxa"/>
            <w:tcBorders/>
          </w:tcPr>
          <w:p>
            <w:pPr>
              <w:spacing w:after="400" w:line="400" w:lineRule="exact"/>
            </w:pPr>
            <w:r>
              <w:t xml:space="preserve">北京银行与华为合作，基于昇腾系列AI服务器和华为MindIE推理引擎，快速部署了DeepSeek V3和R1满血模型等，并推进技术优化。</w:t>
            </w:r>
          </w:p>
        </w:tc>
        <w:tc>
          <w:tcPr>
            <w:tcW w:w="2074" w:type="dxa"/>
            <w:tcBorders/>
          </w:tcPr>
          <w:p>
            <w:pPr>
              <w:spacing w:after="400" w:line="400" w:lineRule="exact"/>
            </w:pPr>
            <w:r>
              <w:t>技术合作</w:t>
            </w:r>
          </w:p>
        </w:tc>
      </w:tr>
      <w:tr>
        <w:tc>
          <w:tcPr>
            <w:tcW w:w="2074" w:type="dxa"/>
            <w:tcBorders/>
          </w:tcPr>
          <w:p>
            <w:pPr>
              <w:spacing w:after="400" w:line="400" w:lineRule="exact"/>
            </w:pPr>
            <w:r>
              <w:t>多家银行积极部署DeepSeek大模型</w:t>
            </w:r>
          </w:p>
        </w:tc>
        <w:tc>
          <w:tcPr>
            <w:tcW w:w="2074" w:type="dxa"/>
            <w:tcBorders/>
          </w:tcPr>
          <w:p>
            <w:pPr>
              <w:spacing w:after="400" w:line="400" w:lineRule="exact"/>
            </w:pPr>
            <w:r>
              <w:t>截至2025-03</w:t>
            </w:r>
          </w:p>
        </w:tc>
        <w:tc>
          <w:tcPr>
            <w:tcW w:w="2074" w:type="dxa"/>
            <w:tcBorders/>
          </w:tcPr>
          <w:p>
            <w:pPr>
              <w:spacing w:after="400" w:line="400" w:lineRule="exact"/>
            </w:pPr>
            <w:r>
              <w:t>多家银行开始引入和部署DeepSeek模型，包括江苏银行、邮储银行等，推动金融智能化发展。</w:t>
            </w:r>
          </w:p>
        </w:tc>
        <w:tc>
          <w:tcPr>
            <w:tcW w:w="2074" w:type="dxa"/>
            <w:tcBorders/>
          </w:tcPr>
          <w:p>
            <w:pPr>
              <w:spacing w:after="400" w:line="400" w:lineRule="exact"/>
            </w:pPr>
            <w:r>
              <w:t>行业趋势</w:t>
            </w:r>
          </w:p>
        </w:tc>
      </w:tr>
      <w:tr>
        <w:tc>
          <w:tcPr>
            <w:tcW w:w="2074" w:type="dxa"/>
            <w:tcBorders/>
          </w:tcPr>
          <w:p>
            <w:pPr>
              <w:spacing w:after="400" w:line="400" w:lineRule="exact"/>
            </w:pPr>
            <w:r>
              <w:t>三大运营商全面接入DeepSeek</w:t>
            </w:r>
          </w:p>
        </w:tc>
        <w:tc>
          <w:tcPr>
            <w:tcW w:w="2074" w:type="dxa"/>
            <w:tcBorders/>
          </w:tcPr>
          <w:p>
            <w:pPr>
              <w:spacing w:after="400" w:line="400" w:lineRule="exact"/>
            </w:pPr>
            <w:r>
              <w:t>2025春节期间</w:t>
            </w:r>
          </w:p>
        </w:tc>
        <w:tc>
          <w:tcPr>
            <w:tcW w:w="2074" w:type="dxa"/>
            <w:tcBorders/>
          </w:tcPr>
          <w:p>
            <w:pPr>
              <w:spacing w:after="400" w:line="400" w:lineRule="exact"/>
            </w:pPr>
            <w:r>
              <w:t>中国电信、中国移动、中国联通宣布全面接入DeepSeek开源大模型，提升AI技术普及程度。</w:t>
            </w:r>
          </w:p>
        </w:tc>
        <w:tc>
          <w:tcPr>
            <w:tcW w:w="2074" w:type="dxa"/>
            <w:tcBorders/>
          </w:tcPr>
          <w:p>
            <w:pPr>
              <w:spacing w:after="400" w:line="400" w:lineRule="exact"/>
            </w:pPr>
            <w:r>
              <w:t>行业合作</w:t>
            </w:r>
          </w:p>
        </w:tc>
      </w:tr>
      <w:tr>
        <w:tc>
          <w:tcPr>
            <w:tcW w:w="2074" w:type="dxa"/>
            <w:tcBorders/>
          </w:tcPr>
          <w:p>
            <w:pPr>
              <w:spacing w:after="400" w:line="400" w:lineRule="exact"/>
            </w:pPr>
            <w:r>
              <w:t>DeepSeek在金融领域的应用探索</w:t>
            </w:r>
          </w:p>
        </w:tc>
        <w:tc>
          <w:tcPr>
            <w:tcW w:w="2074" w:type="dxa"/>
            <w:tcBorders/>
          </w:tcPr>
          <w:p>
            <w:pPr>
              <w:spacing w:after="400" w:line="400" w:lineRule="exact"/>
            </w:pPr>
            <w:r>
              <w:t>截至2025-03</w:t>
            </w:r>
          </w:p>
        </w:tc>
        <w:tc>
          <w:tcPr>
            <w:tcW w:w="2074" w:type="dxa"/>
            <w:tcBorders/>
          </w:tcPr>
          <w:p>
            <w:pPr>
              <w:spacing w:after="400" w:line="400" w:lineRule="exact"/>
            </w:pPr>
            <w:r>
              <w:t>北京银行在信贷、营销等场景中试点应用DeepSeek模型，提升金融服务效率。</w:t>
            </w:r>
          </w:p>
        </w:tc>
        <w:tc>
          <w:tcPr>
            <w:tcW w:w="2074" w:type="dxa"/>
            <w:tcBorders/>
          </w:tcPr>
          <w:p>
            <w:pPr>
              <w:spacing w:after="400" w:line="400" w:lineRule="exact"/>
            </w:pPr>
            <w:r>
              <w:t>应用实践</w:t>
            </w:r>
          </w:p>
        </w:tc>
      </w:tr>
    </w:tbl>
    <w:p>
      <w:pPr>
        <w:pStyle w:val="Heading2"/>
        <w:spacing w:before="400" w:after="400" w:line="400" w:lineRule="atLeast"/>
      </w:pPr>
      <w:r>
        <w:t>相关组织</w:t>
      </w:r>
    </w:p>
    <w:tb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765"/>
        <w:gridCol w:w="2765"/>
        <w:gridCol w:w="2765"/>
      </w:tblGrid>
      <w:tr>
        <w:tc>
          <w:tcPr>
            <w:tcW w:w="2765" w:type="dxa"/>
            <w:tcBorders/>
          </w:tcPr>
          <w:p>
            <w:pPr>
              <w:spacing w:after="400" w:line="400" w:lineRule="exact"/>
            </w:pPr>
            <w:r>
              <w:rPr>
                <w:b w:val="true"/>
              </w:rPr>
              <w:t>组织名称</w:t>
            </w:r>
          </w:p>
        </w:tc>
        <w:tc>
          <w:tcPr>
            <w:tcW w:w="2765" w:type="dxa"/>
            <w:tcBorders/>
          </w:tcPr>
          <w:p>
            <w:pPr>
              <w:spacing w:after="400" w:line="400" w:lineRule="exact"/>
            </w:pPr>
            <w:r>
              <w:rPr>
                <w:b w:val="true"/>
              </w:rPr>
              <w:t>概述</w:t>
            </w:r>
          </w:p>
        </w:tc>
        <w:tc>
          <w:tcPr>
            <w:tcW w:w="2765" w:type="dxa"/>
            <w:tcBorders/>
          </w:tcPr>
          <w:p>
            <w:pPr>
              <w:spacing w:after="400" w:line="400" w:lineRule="exact"/>
            </w:pPr>
            <w:r>
              <w:rPr>
                <w:b w:val="true"/>
              </w:rPr>
              <w:t>类型</w:t>
            </w:r>
          </w:p>
        </w:tc>
      </w:tr>
      <w:tr>
        <w:tc>
          <w:tcPr>
            <w:tcW w:w="2765" w:type="dxa"/>
            <w:tcBorders/>
          </w:tcPr>
          <w:p>
            <w:pPr>
              <w:spacing w:after="400" w:line="400" w:lineRule="exact"/>
            </w:pPr>
            <w:r>
              <w:t>北京银行</w:t>
            </w:r>
          </w:p>
        </w:tc>
        <w:tc>
          <w:tcPr>
            <w:tcW w:w="2765" w:type="dxa"/>
            <w:tcBorders/>
          </w:tcPr>
          <w:p>
            <w:pPr>
              <w:spacing w:after="400" w:line="400" w:lineRule="exact"/>
            </w:pPr>
            <w:r>
              <w:t xml:space="preserve">北京银行是一家致力于打造“人工智能驱动的商业银行”的金融机构，全面启动“all in AI”战略。</w:t>
            </w:r>
          </w:p>
        </w:tc>
        <w:tc>
          <w:tcPr>
            <w:tcW w:w="2765" w:type="dxa"/>
            <w:tcBorders/>
          </w:tcPr>
          <w:p>
            <w:pPr>
              <w:spacing w:after="400" w:line="400" w:lineRule="exact"/>
            </w:pPr>
            <w:r>
              <w:t>金融/银行</w:t>
            </w:r>
          </w:p>
        </w:tc>
      </w:tr>
      <w:tr>
        <w:tc>
          <w:tcPr>
            <w:tcW w:w="2765" w:type="dxa"/>
            <w:tcBorders/>
          </w:tcPr>
          <w:p>
            <w:pPr>
              <w:spacing w:after="400" w:line="400" w:lineRule="exact"/>
            </w:pPr>
            <w:r>
              <w:t>华为</w:t>
            </w:r>
          </w:p>
        </w:tc>
        <w:tc>
          <w:tcPr>
            <w:tcW w:w="2765" w:type="dxa"/>
            <w:tcBorders/>
          </w:tcPr>
          <w:p>
            <w:pPr>
              <w:spacing w:after="400" w:line="400" w:lineRule="exact"/>
            </w:pPr>
            <w:r>
              <w:t>华为是一家全球领先的科技公司，与北京银行合作实现DeepSeek全栈国产化金融应用。</w:t>
            </w:r>
          </w:p>
        </w:tc>
        <w:tc>
          <w:tcPr>
            <w:tcW w:w="2765" w:type="dxa"/>
            <w:tcBorders/>
          </w:tcPr>
          <w:p>
            <w:pPr>
              <w:spacing w:after="400" w:line="400" w:lineRule="exact"/>
            </w:pPr>
            <w:r>
              <w:t>科技/通信</w:t>
            </w:r>
          </w:p>
        </w:tc>
      </w:tr>
      <w:tr>
        <w:tc>
          <w:tcPr>
            <w:tcW w:w="2765" w:type="dxa"/>
            <w:tcBorders/>
          </w:tcPr>
          <w:p>
            <w:pPr>
              <w:spacing w:after="400" w:line="400" w:lineRule="exact"/>
            </w:pPr>
            <w:r>
              <w:t>江苏银行</w:t>
            </w:r>
          </w:p>
        </w:tc>
        <w:tc>
          <w:tcPr>
            <w:tcW w:w="2765" w:type="dxa"/>
            <w:tcBorders/>
          </w:tcPr>
          <w:p>
            <w:pPr>
              <w:spacing w:after="400" w:line="400" w:lineRule="exact"/>
            </w:pPr>
            <w:r>
              <w:t>江苏银行是多家银行中率先部署DeepSeek模型的金融机构之一。</w:t>
            </w:r>
          </w:p>
        </w:tc>
        <w:tc>
          <w:tcPr>
            <w:tcW w:w="2765" w:type="dxa"/>
            <w:tcBorders/>
          </w:tcPr>
          <w:p>
            <w:pPr>
              <w:spacing w:after="400" w:line="400" w:lineRule="exact"/>
            </w:pPr>
            <w:r>
              <w:t>金融/银行</w:t>
            </w:r>
          </w:p>
        </w:tc>
      </w:tr>
      <w:tr>
        <w:tc>
          <w:tcPr>
            <w:tcW w:w="2765" w:type="dxa"/>
            <w:tcBorders/>
          </w:tcPr>
          <w:p>
            <w:pPr>
              <w:spacing w:after="400" w:line="400" w:lineRule="exact"/>
            </w:pPr>
            <w:r>
              <w:t>邮储银行</w:t>
            </w:r>
          </w:p>
        </w:tc>
        <w:tc>
          <w:tcPr>
            <w:tcW w:w="2765" w:type="dxa"/>
            <w:tcBorders/>
          </w:tcPr>
          <w:p>
            <w:pPr>
              <w:spacing w:after="400" w:line="400" w:lineRule="exact"/>
            </w:pPr>
            <w:r>
              <w:t xml:space="preserve">邮储银行在本地部署了DeepSeek V3模型和轻量DeepSeek R1推理模型，并将其应用于“小邮助手”。</w:t>
            </w:r>
          </w:p>
        </w:tc>
        <w:tc>
          <w:tcPr>
            <w:tcW w:w="2765" w:type="dxa"/>
            <w:tcBorders/>
          </w:tcPr>
          <w:p>
            <w:pPr>
              <w:spacing w:after="400" w:line="400" w:lineRule="exact"/>
            </w:pPr>
            <w:r>
              <w:t>金融/银行</w:t>
            </w:r>
          </w:p>
        </w:tc>
      </w:tr>
      <w:tr>
        <w:tc>
          <w:tcPr>
            <w:tcW w:w="2765" w:type="dxa"/>
            <w:tcBorders/>
          </w:tcPr>
          <w:p>
            <w:pPr>
              <w:spacing w:after="400" w:line="400" w:lineRule="exact"/>
            </w:pPr>
            <w:r>
              <w:t>苏商银行</w:t>
            </w:r>
          </w:p>
        </w:tc>
        <w:tc>
          <w:tcPr>
            <w:tcW w:w="2765" w:type="dxa"/>
            <w:tcBorders/>
          </w:tcPr>
          <w:p>
            <w:pPr>
              <w:spacing w:after="400" w:line="400" w:lineRule="exact"/>
            </w:pPr>
            <w:r>
              <w:t>苏商银行是多家银行中接入DeepSeek模型的金融机构之一。</w:t>
            </w:r>
          </w:p>
        </w:tc>
        <w:tc>
          <w:tcPr>
            <w:tcW w:w="2765" w:type="dxa"/>
            <w:tcBorders/>
          </w:tcPr>
          <w:p>
            <w:pPr>
              <w:spacing w:after="400" w:line="400" w:lineRule="exact"/>
            </w:pPr>
            <w:r>
              <w:t>金融/银行</w:t>
            </w:r>
          </w:p>
        </w:tc>
      </w:tr>
      <w:tr>
        <w:tc>
          <w:tcPr>
            <w:tcW w:w="2765" w:type="dxa"/>
            <w:tcBorders/>
          </w:tcPr>
          <w:p>
            <w:pPr>
              <w:spacing w:after="400" w:line="400" w:lineRule="exact"/>
            </w:pPr>
            <w:r>
              <w:t>平安银行</w:t>
            </w:r>
          </w:p>
        </w:tc>
        <w:tc>
          <w:tcPr>
            <w:tcW w:w="2765" w:type="dxa"/>
            <w:tcBorders/>
          </w:tcPr>
          <w:p>
            <w:pPr>
              <w:spacing w:after="400" w:line="400" w:lineRule="exact"/>
            </w:pPr>
            <w:r>
              <w:t>平安银行是多家银行中接入DeepSeek模型的金融机构之一。</w:t>
            </w:r>
          </w:p>
        </w:tc>
        <w:tc>
          <w:tcPr>
            <w:tcW w:w="2765" w:type="dxa"/>
            <w:tcBorders/>
          </w:tcPr>
          <w:p>
            <w:pPr>
              <w:spacing w:after="400" w:line="400" w:lineRule="exact"/>
            </w:pPr>
            <w:r>
              <w:t>金融/银行</w:t>
            </w:r>
          </w:p>
        </w:tc>
      </w:tr>
      <w:tr>
        <w:tc>
          <w:tcPr>
            <w:tcW w:w="2765" w:type="dxa"/>
            <w:tcBorders/>
          </w:tcPr>
          <w:p>
            <w:pPr>
              <w:spacing w:after="400" w:line="400" w:lineRule="exact"/>
            </w:pPr>
            <w:r>
              <w:t>腾讯云</w:t>
            </w:r>
          </w:p>
        </w:tc>
        <w:tc>
          <w:tcPr>
            <w:tcW w:w="2765" w:type="dxa"/>
            <w:tcBorders/>
          </w:tcPr>
          <w:p>
            <w:pPr>
              <w:spacing w:after="400" w:line="400" w:lineRule="exact"/>
            </w:pPr>
            <w:r>
              <w:t>腾讯云支持DeepSeek全系列模型，并在TI平台上架。</w:t>
            </w:r>
          </w:p>
        </w:tc>
        <w:tc>
          <w:tcPr>
            <w:tcW w:w="2765" w:type="dxa"/>
            <w:tcBorders/>
          </w:tcPr>
          <w:p>
            <w:pPr>
              <w:spacing w:after="400" w:line="400" w:lineRule="exact"/>
            </w:pPr>
            <w:r>
              <w:t>科技/云计算</w:t>
            </w:r>
          </w:p>
        </w:tc>
      </w:tr>
      <w:tr>
        <w:tc>
          <w:tcPr>
            <w:tcW w:w="2765" w:type="dxa"/>
            <w:tcBorders/>
          </w:tcPr>
          <w:p>
            <w:pPr>
              <w:spacing w:after="400" w:line="400" w:lineRule="exact"/>
            </w:pPr>
            <w:r>
              <w:t>百度智能云</w:t>
            </w:r>
          </w:p>
        </w:tc>
        <w:tc>
          <w:tcPr>
            <w:tcW w:w="2765" w:type="dxa"/>
            <w:tcBorders/>
          </w:tcPr>
          <w:p>
            <w:pPr>
              <w:spacing w:after="400" w:line="400" w:lineRule="exact"/>
            </w:pPr>
            <w:r>
              <w:t>百度智能云已正式上线DeepSeek-R1和DeepSeek-V3模型。</w:t>
            </w:r>
          </w:p>
        </w:tc>
        <w:tc>
          <w:tcPr>
            <w:tcW w:w="2765" w:type="dxa"/>
            <w:tcBorders/>
          </w:tcPr>
          <w:p>
            <w:pPr>
              <w:spacing w:after="400" w:line="400" w:lineRule="exact"/>
            </w:pPr>
            <w:r>
              <w:t>科技/云计算</w:t>
            </w:r>
          </w:p>
        </w:tc>
      </w:tr>
      <w:tr>
        <w:tc>
          <w:tcPr>
            <w:tcW w:w="2765" w:type="dxa"/>
            <w:tcBorders/>
          </w:tcPr>
          <w:p>
            <w:pPr>
              <w:spacing w:after="400" w:line="400" w:lineRule="exact"/>
            </w:pPr>
            <w:r>
              <w:t>天翼云</w:t>
            </w:r>
          </w:p>
        </w:tc>
        <w:tc>
          <w:tcPr>
            <w:tcW w:w="2765" w:type="dxa"/>
            <w:tcBorders/>
          </w:tcPr>
          <w:p>
            <w:pPr>
              <w:spacing w:after="400" w:line="400" w:lineRule="exact"/>
            </w:pPr>
            <w:r>
              <w:t>天翼云通过“息壤”一体化智算平台完成国产算力与DeepSeek-R1/V3系列大模型的深度适配优化。</w:t>
            </w:r>
          </w:p>
        </w:tc>
        <w:tc>
          <w:tcPr>
            <w:tcW w:w="2765" w:type="dxa"/>
            <w:tcBorders/>
          </w:tcPr>
          <w:p>
            <w:pPr>
              <w:spacing w:after="400" w:line="400" w:lineRule="exact"/>
            </w:pPr>
            <w:r>
              <w:t>科技/云计算</w:t>
            </w:r>
          </w:p>
        </w:tc>
      </w:tr>
    </w:tbl>
    <w:p>
      <w:pPr>
        <w:pStyle w:val="Heading2"/>
        <w:spacing w:before="400" w:after="400" w:line="400" w:lineRule="atLeast"/>
      </w:pPr>
      <w:r>
        <w:t>参考资料</w:t>
      </w:r>
    </w:p>
    <w:p>
      <w:pPr>
        <w:spacing w:after="200" w:line="400" w:lineRule="atLeast"/>
      </w:pPr>
      <w:hyperlink r:id="rId4">
        <w:r>
          <w:rPr>
            <w:rStyle w:val="DefaultParagraphFont"/>
            <w:color w:val="0563C1"/>
          </w:rPr>
          <w:t xml:space="preserve">1. 北京银行启动“all in AI”战略，实现DeepSeek全栈国产化金融应用 [2025-02-17]</w:t>
        </w:r>
      </w:hyperlink>
    </w:p>
    <w:p>
      <w:pPr>
        <w:spacing w:after="200" w:line="400" w:lineRule="atLeast"/>
      </w:pPr>
      <w:hyperlink r:id="rId5">
        <w:r>
          <w:rPr>
            <w:rStyle w:val="DefaultParagraphFont"/>
            <w:color w:val="0563C1"/>
          </w:rPr>
          <w:t xml:space="preserve">2. 北京银行携手华为 率先实现DeepSeek全栈国产化金融应用 [2025-02-09]</w:t>
        </w:r>
      </w:hyperlink>
    </w:p>
    <w:p>
      <w:pPr>
        <w:spacing w:after="200" w:line="400" w:lineRule="atLeast"/>
      </w:pPr>
      <w:hyperlink r:id="rId6">
        <w:r>
          <w:rPr>
            <w:rStyle w:val="DefaultParagraphFont"/>
            <w:color w:val="0563C1"/>
          </w:rPr>
          <w:t xml:space="preserve">3. 北京银行启动“all in AI”战略 [2025-02-10]</w:t>
        </w:r>
      </w:hyperlink>
    </w:p>
    <w:p>
      <w:pPr>
        <w:spacing w:after="200" w:line="400" w:lineRule="atLeast"/>
      </w:pPr>
      <w:hyperlink r:id="rId7">
        <w:r>
          <w:rPr>
            <w:rStyle w:val="DefaultParagraphFont"/>
            <w:color w:val="0563C1"/>
          </w:rPr>
          <w:t xml:space="preserve">4. 北京银行宣布启动“all in AI”战略，与华为合作率先实现 DeepSeek 全栈国产化金融应用 [2025-02-10]</w:t>
        </w:r>
      </w:hyperlink>
    </w:p>
    <w:p>
      <w:pPr>
        <w:spacing w:after="200" w:line="400" w:lineRule="atLeast"/>
      </w:pPr>
      <w:hyperlink r:id="rId8">
        <w:r>
          <w:rPr>
            <w:rStyle w:val="DefaultParagraphFont"/>
            <w:color w:val="0563C1"/>
          </w:rPr>
          <w:t xml:space="preserve">5. 北京银行启动“all in AI”战略，与华为合作实现DeepSeek全栈国产化金融应用 [2025-02-11]</w:t>
        </w:r>
      </w:hyperlink>
    </w:p>
    <w:p>
      <w:pPr>
        <w:spacing w:after="200" w:line="400" w:lineRule="atLeast"/>
      </w:pPr>
      <w:hyperlink r:id="rId9">
        <w:r>
          <w:rPr>
            <w:rStyle w:val="DefaultParagraphFont"/>
            <w:color w:val="0563C1"/>
          </w:rPr>
          <w:t xml:space="preserve">6. 北京银行动态与分析 [2024-12-31]</w:t>
        </w:r>
      </w:hyperlink>
    </w:p>
    <w:p>
      <w:pPr>
        <w:spacing w:after="200" w:line="400" w:lineRule="atLeast"/>
      </w:pPr>
      <w:hyperlink r:id="rId10">
        <w:r>
          <w:rPr>
            <w:rStyle w:val="DefaultParagraphFont"/>
            <w:color w:val="0563C1"/>
          </w:rPr>
          <w:t xml:space="preserve">7. 多家银行积极部署DeepSeek大模型，推动“未来银行”快速崛起 [2025-02-13]</w:t>
        </w:r>
      </w:hyperlink>
    </w:p>
    <w:p>
      <w:pPr>
        <w:spacing w:after="200" w:line="400" w:lineRule="atLeast"/>
      </w:pPr>
      <w:hyperlink r:id="rId11">
        <w:r>
          <w:rPr>
            <w:rStyle w:val="DefaultParagraphFont"/>
            <w:color w:val="0563C1"/>
          </w:rPr>
          <w:t xml:space="preserve">8. 雪球 [2025-02-09]</w:t>
        </w:r>
      </w:hyperlink>
    </w:p>
    <w:p>
      <w:pPr>
        <w:spacing w:after="200" w:line="400" w:lineRule="atLeast"/>
      </w:pPr>
      <w:hyperlink r:id="rId12">
        <w:r>
          <w:rPr>
            <w:rStyle w:val="DefaultParagraphFont"/>
            <w:color w:val="0563C1"/>
          </w:rPr>
          <w:t xml:space="preserve">9. 北京银行：携手华为率先实现DeepSeek全栈国产化金融应用 [2025-02-09]</w:t>
        </w:r>
      </w:hyperlink>
    </w:p>
    <w:p>
      <w:pPr>
        <w:spacing w:after="200" w:line="400" w:lineRule="atLeast"/>
      </w:pPr>
      <w:hyperlink r:id="rId13">
        <w:r>
          <w:rPr>
            <w:rStyle w:val="DefaultParagraphFont"/>
            <w:color w:val="0563C1"/>
          </w:rPr>
          <w:t xml:space="preserve">10. AI赋能下的金融行业重构及变革——DeepSeek冲击波</w:t>
        </w:r>
      </w:hyperlink>
    </w:p>
    <w:p>
      <w:pPr>
        <w:spacing w:after="200" w:line="400" w:lineRule="atLeast"/>
      </w:pPr>
      <w:hyperlink r:id="rId14">
        <w:r>
          <w:rPr>
            <w:rStyle w:val="DefaultParagraphFont"/>
            <w:color w:val="0563C1"/>
          </w:rPr>
          <w:t xml:space="preserve">11. DeepSeek 题材持续发酵，模型迭代加速推进</w:t>
        </w:r>
      </w:hyperlink>
    </w:p>
    <w:p>
      <w:pPr>
        <w:spacing w:after="200" w:line="400" w:lineRule="atLeast"/>
      </w:pPr>
      <w:hyperlink r:id="rId15">
        <w:r>
          <w:rPr>
            <w:rStyle w:val="DefaultParagraphFont"/>
            <w:color w:val="0563C1"/>
          </w:rPr>
          <w:t xml:space="preserve">12. DeepSeek 开启大模型产业变革，AI 应用加速推进</w:t>
        </w:r>
      </w:hyperlink>
    </w:p>
    <w:p>
      <w:pPr>
        <w:spacing w:after="200" w:line="400" w:lineRule="atLeast"/>
      </w:pPr>
      <w:hyperlink r:id="rId16">
        <w:r>
          <w:rPr>
            <w:rStyle w:val="DefaultParagraphFont"/>
            <w:color w:val="0563C1"/>
          </w:rPr>
          <w:t xml:space="preserve">13. 三大要素齐发力，AI应用步入全面加速期——计算机行业深度分析</w:t>
        </w:r>
      </w:hyperlink>
    </w:p>
    <w:p>
      <w:pPr>
        <w:spacing w:after="200" w:line="400" w:lineRule="atLeast"/>
      </w:pPr>
      <w:hyperlink r:id="rId17">
        <w:r>
          <w:rPr>
            <w:rStyle w:val="DefaultParagraphFont"/>
            <w:color w:val="0563C1"/>
          </w:rPr>
          <w:t xml:space="preserve">14. 2025 DeepSeek技术全景解析 重塑全球AI生态的中国力量</w:t>
        </w:r>
      </w:hyperlink>
    </w:p>
    <w:p>
      <w:pPr>
        <w:spacing w:after="200" w:line="400" w:lineRule="atLeast"/>
      </w:pPr>
      <w:hyperlink r:id="rId18">
        <w:r>
          <w:rPr>
            <w:rStyle w:val="DefaultParagraphFont"/>
            <w:color w:val="0563C1"/>
          </w:rPr>
          <w:t xml:space="preserve">15. 企业级部署专家团，极速响应！全流程护航，保障无忧！DeepSeep R1满血版一键私有化，秒建专属API！#超算互联网 #DeepSeek #企业级 #API部 [2025-02-14]</w:t>
        </w:r>
      </w:hyperlink>
    </w:p>
    <w:p>
      <w:pPr>
        <w:spacing w:after="200" w:line="400" w:lineRule="atLeast"/>
      </w:pPr>
      <w:hyperlink r:id="rId19">
        <w:r>
          <w:rPr>
            <w:rStyle w:val="DefaultParagraphFont"/>
            <w:color w:val="0563C1"/>
          </w:rPr>
          <w:t xml:space="preserve">16. 投研范式的革新——当大模型遇到大资管</w:t>
        </w:r>
      </w:hyperlink>
    </w:p>
    <w:p>
      <w:pPr>
        <w:spacing w:after="200" w:line="400" w:lineRule="atLeast"/>
      </w:pPr>
      <w:hyperlink r:id="rId20">
        <w:r>
          <w:rPr>
            <w:rStyle w:val="DefaultParagraphFont"/>
            <w:color w:val="0563C1"/>
          </w:rPr>
          <w:t xml:space="preserve">17. 三大运营商全面接入DeepSeek开源大模型，数据要素产业化进程加速——通信行业月报</w:t>
        </w:r>
      </w:hyperlink>
    </w:p>
    <w:p>
      <w:pPr>
        <w:spacing w:after="200" w:line="400" w:lineRule="atLeast"/>
      </w:pPr>
      <w:hyperlink r:id="rId21">
        <w:r>
          <w:rPr>
            <w:rStyle w:val="DefaultParagraphFont"/>
            <w:color w:val="0563C1"/>
          </w:rPr>
          <w:t xml:space="preserve">18. DeepSeek赋能科技平权，多场景AI应用端加速落地</w:t>
        </w:r>
      </w:hyperlink>
    </w:p>
    <w:p>
      <w:pPr>
        <w:spacing w:after="200" w:line="400" w:lineRule="atLeast"/>
      </w:pPr>
      <w:hyperlink r:id="rId22">
        <w:r>
          <w:rPr>
            <w:rStyle w:val="DefaultParagraphFont"/>
            <w:color w:val="0563C1"/>
          </w:rPr>
          <w:t xml:space="preserve">19. deepseek情况介绍，探索第一步 [2025-02-08]</w:t>
        </w:r>
      </w:hyperlink>
    </w:p>
    <w:p>
      <w:pPr>
        <w:spacing w:after="200" w:line="400" w:lineRule="atLeast"/>
      </w:pPr>
      <w:hyperlink r:id="rId23">
        <w:r>
          <w:rPr>
            <w:rStyle w:val="DefaultParagraphFont"/>
            <w:color w:val="0563C1"/>
          </w:rPr>
          <w:t xml:space="preserve">20. 三大运营商竟然在同一时间宣布全面接入国产AI大模型DeepSeek，这背后究竟隐藏着什么 [2025-02-08]</w:t>
        </w:r>
      </w:hyperlink>
    </w:p>
    <w:p>
      <w:pPr>
        <w:spacing w:after="200" w:line="400" w:lineRule="atLeast"/>
      </w:pPr>
      <w:hyperlink r:id="rId24">
        <w:r>
          <w:rPr>
            <w:rStyle w:val="DefaultParagraphFont"/>
            <w:color w:val="0563C1"/>
          </w:rPr>
          <w:t xml:space="preserve">21. 银行“下注”DeepSeek大模型数据隐私和幻觉问题待解</w:t>
        </w:r>
      </w:hyperlink>
    </w:p>
    <w:p>
      <w:pPr>
        <w:spacing w:after="200" w:line="400" w:lineRule="atLeast"/>
      </w:pPr>
      <w:hyperlink r:id="rId25">
        <w:r>
          <w:rPr>
            <w:rStyle w:val="DefaultParagraphFont"/>
            <w:color w:val="0563C1"/>
          </w:rPr>
          <w:t xml:space="preserve">22. 计算机行业深度报告：私有化部署需求提升带来大模型一体机投资机会</w:t>
        </w:r>
      </w:hyperlink>
    </w:p>
    <w:p>
      <w:pPr>
        <w:spacing w:after="200" w:line="400" w:lineRule="atLeast"/>
      </w:pPr>
      <w:hyperlink r:id="rId26">
        <w:r>
          <w:rPr>
            <w:rStyle w:val="DefaultParagraphFont"/>
            <w:color w:val="0563C1"/>
          </w:rPr>
          <w:t xml:space="preserve">23. 供给侧改革驱动价值重估，AI赋能效率提升——证券行业2025年中期投资策略【勘误版】</w:t>
        </w:r>
      </w:hyperlink>
    </w:p>
    <w:p>
      <w:pPr>
        <w:spacing w:after="200" w:line="400" w:lineRule="atLeast"/>
      </w:pPr>
      <w:hyperlink r:id="rId27">
        <w:r>
          <w:rPr>
            <w:rStyle w:val="DefaultParagraphFont"/>
            <w:color w:val="0563C1"/>
          </w:rPr>
          <w:t xml:space="preserve">24. 三大运营商联手DeepSeek，开启AI狂飙时代 [2025-02-08]</w:t>
        </w:r>
      </w:hyperlink>
    </w:p>
    <w:p>
      <w:pPr>
        <w:spacing w:after="200" w:line="400" w:lineRule="atLeast"/>
      </w:pPr>
      <w:hyperlink r:id="rId28">
        <w:r>
          <w:rPr>
            <w:rStyle w:val="DefaultParagraphFont"/>
            <w:color w:val="0563C1"/>
          </w:rPr>
          <w:t xml:space="preserve">25. DeepSeek成为产业数智化新引擎</w:t>
        </w:r>
      </w:hyperlink>
    </w:p>
    <w:p>
      <w:pPr>
        <w:spacing w:after="200" w:line="400" w:lineRule="atLeast"/>
      </w:pPr>
      <w:hyperlink r:id="rId29">
        <w:r>
          <w:rPr>
            <w:rStyle w:val="DefaultParagraphFont"/>
            <w:color w:val="0563C1"/>
          </w:rPr>
          <w:t xml:space="preserve">26. DeepSeek 本地化部署持续扩容，端侧AI加速落地</w:t>
        </w:r>
      </w:hyperlink>
    </w:p>
    <w:p>
      <w:pPr>
        <w:spacing w:after="200" w:line="400" w:lineRule="atLeast"/>
      </w:pPr>
      <w:hyperlink r:id="rId30">
        <w:r>
          <w:rPr>
            <w:rStyle w:val="DefaultParagraphFont"/>
            <w:color w:val="0563C1"/>
          </w:rPr>
          <w:t xml:space="preserve">27. DeepSeek行业应用案例集：解锁智能变革密码</w:t>
        </w:r>
      </w:hyperlink>
    </w:p>
    <w:p>
      <w:pPr>
        <w:spacing w:after="200" w:line="400" w:lineRule="atLeast"/>
      </w:pPr>
      <w:hyperlink r:id="rId31">
        <w:r>
          <w:rPr>
            <w:rStyle w:val="DefaultParagraphFont"/>
            <w:color w:val="0563C1"/>
          </w:rPr>
          <w:t xml:space="preserve">28. AI 动态跟踪系列（四）DeepSeek 引发广泛关注，大模型应用落地将加速</w:t>
        </w:r>
      </w:hyperlink>
    </w:p>
    <w:p>
      <w:pPr>
        <w:spacing w:after="200" w:line="400" w:lineRule="atLeast"/>
      </w:pPr>
      <w:hyperlink r:id="rId32">
        <w:r>
          <w:rPr>
            <w:rStyle w:val="DefaultParagraphFont"/>
            <w:color w:val="0563C1"/>
          </w:rPr>
          <w:t xml:space="preserve">29. 银行业的“狂欢”？至少已有30余家银行部署DeepSeek大模型 [2025-03-13]</w:t>
        </w:r>
      </w:hyperlink>
    </w:p>
    <w:p>
      <w:pPr>
        <w:spacing w:after="200" w:line="400" w:lineRule="atLeast"/>
      </w:pPr>
      <w:hyperlink r:id="rId33">
        <w:r>
          <w:rPr>
            <w:rStyle w:val="DefaultParagraphFont"/>
            <w:color w:val="0563C1"/>
          </w:rPr>
          <w:t xml:space="preserve">30. 北京银行2024年报分析 [2024-04-14]</w:t>
        </w:r>
      </w:hyperlink>
    </w:p>
    <w:sectPr>
      <w:headerReference w:type="default" r:id="rId34"/>
      <w:footerReference w:type="default" r:id="rId35"/>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9717" name="image" descr="image"/>
          <wp:cNvGraphicFramePr>
            <a:graphicFrameLocks noChangeAspect="true"/>
          </wp:cNvGraphicFramePr>
          <a:graphic>
            <a:graphicData uri="http://schemas.openxmlformats.org/drawingml/2006/picture">
              <pic:pic>
                <pic:nvPicPr>
                  <pic:cNvPr id="19434"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num w:numId="1">
    <w:abstractNumId w:val="0"/>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www.cebnet.com.cn/20250217/102981844.html" Type="http://schemas.openxmlformats.org/officeDocument/2006/relationships/hyperlink" Id="rId4"/>
    <Relationship TargetMode="External" Target="https://send2me.i618.com.cn/newDetail/article-detail/67a7aae0594a9397500ecaed" Type="http://schemas.openxmlformats.org/officeDocument/2006/relationships/hyperlink" Id="rId5"/>
    <Relationship TargetMode="External" Target="http://finance.sina.com.cn/tech/digi/2025-02-10/doc-ineiushy6302313.shtml" Type="http://schemas.openxmlformats.org/officeDocument/2006/relationships/hyperlink" Id="rId6"/>
    <Relationship TargetMode="External" Target="https://finance.sina.com.cn/tech/digi/2025-02-10/doc-ineiushy6302313.shtml" Type="http://schemas.openxmlformats.org/officeDocument/2006/relationships/hyperlink" Id="rId7"/>
    <Relationship TargetMode="External" Target="https://h5.ifeng.com/c/vivoArticle/v002jUckWsu8MePNvoxecKnrks3AzlXk5MaDif3GjxEuN4c__" Type="http://schemas.openxmlformats.org/officeDocument/2006/relationships/hyperlink" Id="rId8"/>
    <Relationship TargetMode="External" Target="https://guba.sina.cn/list_sh601169.html?froms=bdmp" Type="http://schemas.openxmlformats.org/officeDocument/2006/relationships/hyperlink" Id="rId9"/>
    <Relationship TargetMode="External" Target="https://www.sohu.com/a/858599538_121956424" Type="http://schemas.openxmlformats.org/officeDocument/2006/relationships/hyperlink" Id="rId10"/>
    <Relationship TargetMode="External" Target="https://xueqiu.com/6128254997/322698093" Type="http://schemas.openxmlformats.org/officeDocument/2006/relationships/hyperlink" Id="rId11"/>
    <Relationship TargetMode="External" Target="https://www.163.com/dy/article/JNU6PK6T055358JA.html" Type="http://schemas.openxmlformats.org/officeDocument/2006/relationships/hyperlink" Id="rId12"/>
    <Relationship TargetMode="External" Target="https://pdf.dfcfw.com/pdf/H3_AP202502211643359606_1.pdf?1740154789000.pdf=" Type="http://schemas.openxmlformats.org/officeDocument/2006/relationships/hyperlink" Id="rId13"/>
    <Relationship TargetMode="External" Target="https://pdf.dfcfw.com/pdf/H3_AP202502121643005368_1.pdf?1739349169000.pdf" Type="http://schemas.openxmlformats.org/officeDocument/2006/relationships/hyperlink" Id="rId14"/>
    <Relationship TargetMode="External" Target="https://pdf.dfcfw.com/pdf/H3_AP202502111642973547_1.pdf?1739294034000.pdf" Type="http://schemas.openxmlformats.org/officeDocument/2006/relationships/hyperlink" Id="rId15"/>
    <Relationship TargetMode="External" Target="https://pdf.dfcfw.com/pdf/H3_AP202503071644153388_1.pdf?1741373367000.pdf" Type="http://schemas.openxmlformats.org/officeDocument/2006/relationships/hyperlink" Id="rId16"/>
    <Relationship TargetMode="External" Target="https://pdf.dfcfw.com/pdf/H3_AP202503071644137559_1.pdf?1741340780000.pdf" Type="http://schemas.openxmlformats.org/officeDocument/2006/relationships/hyperlink" Id="rId17"/>
    <Relationship TargetMode="External" Target="https://www.bilibili.com/video/av114001434379168" Type="http://schemas.openxmlformats.org/officeDocument/2006/relationships/hyperlink" Id="rId18"/>
    <Relationship TargetMode="External" Target="https://pdf.dfcfw.com/pdf/H3_AP202502151643122335_1.pdf?1739721843000.pdf" Type="http://schemas.openxmlformats.org/officeDocument/2006/relationships/hyperlink" Id="rId19"/>
    <Relationship TargetMode="External" Target="https://pdf.dfcfw.com/pdf/H3_AP202502161643147084_1.pdf?1739743259000.pdf" Type="http://schemas.openxmlformats.org/officeDocument/2006/relationships/hyperlink" Id="rId20"/>
    <Relationship TargetMode="External" Target="https://pdf.dfcfw.com/pdf/H3_AP202502051642811443_1.pdf?1738789060000.pdf" Type="http://schemas.openxmlformats.org/officeDocument/2006/relationships/hyperlink" Id="rId21"/>
    <Relationship TargetMode="External" Target="https://www.bilibili.com/video/av113968517551124" Type="http://schemas.openxmlformats.org/officeDocument/2006/relationships/hyperlink" Id="rId22"/>
    <Relationship TargetMode="External" Target="https://www.bilibili.com/video/av113969020799959" Type="http://schemas.openxmlformats.org/officeDocument/2006/relationships/hyperlink" Id="rId23"/>
    <Relationship TargetMode="External" Target="https://szb.qzwb.com/dnzb/pc/att/202502/14/0f3072e3-07b0-4b24-9a0c-daa5c5c48357.pdf" Type="http://schemas.openxmlformats.org/officeDocument/2006/relationships/hyperlink" Id="rId24"/>
    <Relationship TargetMode="External" Target="https://pdf.dfcfw.com/pdf/H3_AP202503311649555307_1.pdf?1743443771000.pdf" Type="http://schemas.openxmlformats.org/officeDocument/2006/relationships/hyperlink" Id="rId25"/>
    <Relationship TargetMode="External" Target="https://pdf.dfcfw.com/pdf/H3_AP202505041667413559_1.pdf?1746459221000.pdf" Type="http://schemas.openxmlformats.org/officeDocument/2006/relationships/hyperlink" Id="rId26"/>
    <Relationship TargetMode="External" Target="https://www.bilibili.com/video/av113966269399831" Type="http://schemas.openxmlformats.org/officeDocument/2006/relationships/hyperlink" Id="rId27"/>
    <Relationship TargetMode="External" Target="https://yb.1qh.cn/reports/2025-02-18/9863275ef87907395727f9d5d4a1e084c376d7aa.pdf" Type="http://schemas.openxmlformats.org/officeDocument/2006/relationships/hyperlink" Id="rId28"/>
    <Relationship TargetMode="External" Target="https://pdf.dfcfw.com/pdf/H3_AP202502181643187319_1.pdf?1739871106000.pdf" Type="http://schemas.openxmlformats.org/officeDocument/2006/relationships/hyperlink" Id="rId29"/>
    <Relationship TargetMode="External" Target="https://yb.1qh.cn/reports/2025-02-28/f887d70cc7d47aaf859f7fd9a66cbd18a5c83cc5.pdf" Type="http://schemas.openxmlformats.org/officeDocument/2006/relationships/hyperlink" Id="rId30"/>
    <Relationship TargetMode="External" Target="https://www.faxianai.com/wp-content/uploads/2025/03/1741940493-1%E3%80%81AI%E5%8A%A8%E6%80%81%E8%B7%9F%E8%B8%AA%E7%B3%BB%E5%88%97%EF%BC%88%E5%9B%9B%EF%BC%89%EF%BC%9ADeepSeek%E5%BC%95%E5%8F%91%E5%B9%BF%E6%B3%9B%E5%85%B3%E6%B3%A8%EF%BC%8C%E5%A4%A7%E6%A8%A1%E5%9E%8B%E5%BA%94%E7%94%A8%E8%90%BD%E5%9C%B0%E5%B0%86%E5%8A%A0%E9%80%9F.pdf" Type="http://schemas.openxmlformats.org/officeDocument/2006/relationships/hyperlink" Id="rId31"/>
    <Relationship TargetMode="External" Target="https://caifuhao.eastmoney.com/news/20250313185503707317110" Type="http://schemas.openxmlformats.org/officeDocument/2006/relationships/hyperlink" Id="rId32"/>
    <Relationship TargetMode="External" Target="https://guba.sina.com.cn/?s=bar&amp;name=sh601169&amp;barType=1&amp;page=2" Type="http://schemas.openxmlformats.org/officeDocument/2006/relationships/hyperlink" Id="rId33"/>
    <Relationship Target="header.xml" Type="http://schemas.openxmlformats.org/officeDocument/2006/relationships/header" Id="rId34"/>
    <Relationship Target="footer.xml" Type="http://schemas.openxmlformats.org/officeDocument/2006/relationships/footer" Id="rId35"/>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