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deepseek模型介绍</w:t>
      </w:r>
    </w:p>
    <w:p>
      <w:pPr>
        <w:pStyle w:val="Heading2"/>
        <w:spacing w:after="400" w:line="400" w:lineRule="atLeast"/>
      </w:pPr>
      <w:r>
        <w:t>回答</w:t>
      </w:r>
    </w:p>
    <w:p>
      <w:pPr>
        <w:spacing w:after="400" w:line="400" w:lineRule="atLeast"/>
      </w:pPr>
      <w:r>
        <w:t xml:space="preserve">DeepSeek 是一系列由 DeepSeek-AI 开发的深度学习模型，涵盖多个领域，包括图像检索、自然语言处理、多模态理解、数学推理和代码生成等。以下是对 DeepSeek 模型的详细介绍：</w:t>
      </w:r>
    </w:p>
    <w:p>
      <w:pPr>
        <w:spacing w:after="400" w:line="400" w:lineRule="atLeast"/>
      </w:pPr>
      <w:r>
        <w:rPr>
          <w:b/>
          <w:sz w:val="30"/>
        </w:rPr>
        <w:t xml:space="preserve">1. </w:t>
      </w:r>
      <w:r>
        <w:rPr>
          <w:b w:val="true"/>
          <w:sz w:val="30"/>
        </w:rPr>
        <w:t xml:space="preserve">DeepSeek: 图像检索模型</w:t>
      </w:r>
    </w:p>
    <w:p>
      <w:pPr>
        <w:spacing w:after="400" w:line="400" w:lineRule="atLeast"/>
      </w:pPr>
      <w:r>
        <w:t xml:space="preserve">DeepSeek 是一种基于自然语言处理的深度学习模型，旨在通过文本查询实现图像检索。该模型采用了两种主要方法：</w:t>
      </w:r>
    </w:p>
    <w:p>
      <w:pPr>
        <w:numPr>
          <w:ilvl w:val="-1"/>
          <w:numId w:val="3"/>
        </w:numPr>
        <w:spacing w:after="400" w:line="400" w:lineRule="atLeast"/>
      </w:pPr>
      <w:r>
        <w:rPr>
          <w:b w:val="true"/>
        </w:rPr>
        <w:t>基于标题的检索</w:t>
      </w:r>
      <w:r>
        <w:t xml:space="preserve">：通过卷积神经网络（CNN）提取图像特征，并使用长短期记忆网络（LSTM）生成图像描述。这些描述被转换为向量表示，通过最小化 L2 距离来检索相关图像。</w:t>
      </w:r>
    </w:p>
    <w:p>
      <w:pPr>
        <w:numPr>
          <w:ilvl w:val="-1"/>
          <w:numId w:val="3"/>
        </w:numPr>
        <w:spacing w:after="400" w:line="400" w:lineRule="atLeast"/>
      </w:pPr>
      <w:r>
        <w:rPr>
          <w:b w:val="true"/>
        </w:rPr>
        <w:t>嵌入空间检索</w:t>
      </w:r>
      <w:r>
        <w:t xml:space="preserve">：利用预训练的 ResNet-101 模型提取图像特征，并将图像和相关标题投影到一个语义特征空间中，从而实现高效的图像检索 [1]。</w:t>
      </w:r>
    </w:p>
    <w:p>
      <w:pPr>
        <w:spacing w:after="400" w:line="400" w:lineRule="atLeast"/>
      </w:pPr>
      <w:r>
        <w:rPr>
          <w:b/>
          <w:sz w:val="30"/>
        </w:rPr>
        <w:t xml:space="preserve">2. </w:t>
      </w:r>
      <w:r>
        <w:rPr>
          <w:b w:val="true"/>
          <w:sz w:val="30"/>
        </w:rPr>
        <w:t xml:space="preserve">DeepSeek-V2: 混合专家语言模型</w:t>
      </w:r>
    </w:p>
    <w:p>
      <w:pPr>
        <w:spacing w:after="400" w:line="400" w:lineRule="atLeast"/>
      </w:pPr>
      <w:r>
        <w:t xml:space="preserve">DeepSeek-V2 是一个基于 Transformer 架构的混合专家（Mixture-of-Experts, MoE）语言模型，具有 2360 亿参数，但每次激活仅使用 210 亿参数。该模型在训练和推理效率方面表现出色，支持 128K 上下文长度。DeepSeek-V2 采用了创新的 Multi-head Latent Attention（MLA）和 DeepSeekMoE 架构，显著降低了计算成本并提高了性能 [2]。</w:t>
      </w:r>
    </w:p>
    <w:p>
      <w:pPr>
        <w:spacing w:after="400" w:line="400" w:lineRule="atLeast"/>
      </w:pPr>
      <w:r>
        <w:rPr>
          <w:b w:val="true"/>
          <w:sz w:val="26"/>
        </w:rPr>
        <w:t>主要特点</w:t>
      </w:r>
      <w:r>
        <w:rPr>
          <w:b/>
          <w:sz w:val="26"/>
        </w:rPr>
        <w:t>：</w:t>
      </w:r>
    </w:p>
    <w:p>
      <w:pPr>
        <w:numPr>
          <w:ilvl w:val="-1"/>
          <w:numId w:val="7"/>
        </w:numPr>
        <w:spacing w:after="400" w:line="400" w:lineRule="atLeast"/>
      </w:pPr>
      <w:r>
        <w:rPr>
          <w:b w:val="true"/>
        </w:rPr>
        <w:t>高效训练与推理</w:t>
      </w:r>
      <w:r>
        <w:t xml:space="preserve">：DeepSeek-V2 在训练成本上降低了 42.5%，KV 缓存减少了 93.3%，推理吞吐量提高了 5.76 倍。</w:t>
      </w:r>
    </w:p>
    <w:p>
      <w:pPr>
        <w:numPr>
          <w:ilvl w:val="-1"/>
          <w:numId w:val="7"/>
        </w:numPr>
        <w:spacing w:after="400" w:line="400" w:lineRule="atLeast"/>
      </w:pPr>
      <w:r>
        <w:rPr>
          <w:b w:val="true"/>
        </w:rPr>
        <w:t>多语言支持</w:t>
      </w:r>
      <w:r>
        <w:t xml:space="preserve">：DeepSeek-V2 在英语和中文基准测试中均表现出色，尤其在数学、代码和推理任务中表现优异。</w:t>
      </w:r>
    </w:p>
    <w:p>
      <w:pPr>
        <w:numPr>
          <w:ilvl w:val="-1"/>
          <w:numId w:val="7"/>
        </w:numPr>
        <w:spacing w:after="400" w:line="400" w:lineRule="atLeast"/>
      </w:pPr>
      <w:r>
        <w:rPr>
          <w:b w:val="true"/>
        </w:rPr>
        <w:t>开源与可扩展性</w:t>
      </w:r>
      <w:r>
        <w:t xml:space="preserve">：DeepSeek-V2 是开源模型，支持广泛的部署和应用，适合资源有限的环境。</w:t>
      </w:r>
    </w:p>
    <w:p>
      <w:pPr>
        <w:spacing w:after="400" w:line="400" w:lineRule="atLeast"/>
      </w:pPr>
      <w:r>
        <w:rPr>
          <w:b/>
          <w:sz w:val="30"/>
        </w:rPr>
        <w:t xml:space="preserve">3. </w:t>
      </w:r>
      <w:r>
        <w:rPr>
          <w:b w:val="true"/>
          <w:sz w:val="30"/>
        </w:rPr>
        <w:t xml:space="preserve">DeepSeek-V3: 更强大的混合专家模型</w:t>
      </w:r>
    </w:p>
    <w:p>
      <w:pPr>
        <w:spacing w:after="400" w:line="400" w:lineRule="atLeast"/>
      </w:pPr>
      <w:r>
        <w:t xml:space="preserve">DeepSeek-V3 是 DeepSeek 系列的进一步升级，拥有 6710 亿参数，但每次激活仅使用 370 亿参数。该模型在数学、代码和多语言任务中表现出色，尤其在数学推理和代码生成方面具有显著优势 [12]。</w:t>
      </w:r>
    </w:p>
    <w:p>
      <w:pPr>
        <w:spacing w:after="400" w:line="400" w:lineRule="atLeast"/>
      </w:pPr>
      <w:r>
        <w:rPr>
          <w:b w:val="true"/>
          <w:sz w:val="26"/>
        </w:rPr>
        <w:t>主要特点</w:t>
      </w:r>
      <w:r>
        <w:rPr>
          <w:b/>
          <w:sz w:val="26"/>
        </w:rPr>
        <w:t>：</w:t>
      </w:r>
    </w:p>
    <w:p>
      <w:pPr>
        <w:numPr>
          <w:ilvl w:val="-1"/>
          <w:numId w:val="6"/>
        </w:numPr>
        <w:spacing w:after="400" w:line="400" w:lineRule="atLeast"/>
      </w:pPr>
      <w:r>
        <w:rPr>
          <w:b w:val="true"/>
        </w:rPr>
        <w:t>多模态支持</w:t>
      </w:r>
      <w:r>
        <w:t xml:space="preserve">：DeepSeek-V3 支持多模态输入，能够处理图像、文本等多种数据类型。</w:t>
      </w:r>
    </w:p>
    <w:p>
      <w:pPr>
        <w:numPr>
          <w:ilvl w:val="-1"/>
          <w:numId w:val="6"/>
        </w:numPr>
        <w:spacing w:after="400" w:line="400" w:lineRule="atLeast"/>
      </w:pPr>
      <w:r>
        <w:rPr>
          <w:b w:val="true"/>
        </w:rPr>
        <w:t>高效推理</w:t>
      </w:r>
      <w:r>
        <w:t xml:space="preserve">：通过稀疏激活机制，DeepSeek-V3 在保持高性能的同时，大幅降低了计算成本。</w:t>
      </w:r>
    </w:p>
    <w:p>
      <w:pPr>
        <w:numPr>
          <w:ilvl w:val="-1"/>
          <w:numId w:val="6"/>
        </w:numPr>
        <w:spacing w:after="400" w:line="400" w:lineRule="atLeast"/>
      </w:pPr>
      <w:r>
        <w:rPr>
          <w:b w:val="true"/>
        </w:rPr>
        <w:t>开源与长期主义</w:t>
      </w:r>
      <w:r>
        <w:t xml:space="preserve">：DeepSeek-V3 保持开源特性，并致力于推动人工智能的长期发展。</w:t>
      </w:r>
    </w:p>
    <w:p>
      <w:pPr>
        <w:spacing w:after="400" w:line="400" w:lineRule="atLeast"/>
      </w:pPr>
      <w:r>
        <w:rPr>
          <w:b/>
          <w:sz w:val="30"/>
        </w:rPr>
        <w:t xml:space="preserve">4. </w:t>
      </w:r>
      <w:r>
        <w:rPr>
          <w:b w:val="true"/>
          <w:sz w:val="30"/>
        </w:rPr>
        <w:t xml:space="preserve">DeepSeek-R1: 通用语言模型</w:t>
      </w:r>
    </w:p>
    <w:p>
      <w:pPr>
        <w:spacing w:after="400" w:line="400" w:lineRule="atLeast"/>
      </w:pPr>
      <w:r>
        <w:t xml:space="preserve">DeepSeek-R1 是一个通用语言模型，支持多种任务，包括对话、推理、代码生成等。该模型在多个基准测试中表现出色，尤其在数学和代码任务中表现优异 [6]。</w:t>
      </w:r>
    </w:p>
    <w:p>
      <w:pPr>
        <w:spacing w:after="400" w:line="400" w:lineRule="atLeast"/>
      </w:pPr>
      <w:r>
        <w:rPr>
          <w:b w:val="true"/>
          <w:sz w:val="26"/>
        </w:rPr>
        <w:t>主要特点</w:t>
      </w:r>
      <w:r>
        <w:rPr>
          <w:b/>
          <w:sz w:val="26"/>
        </w:rPr>
        <w:t>：</w:t>
      </w:r>
    </w:p>
    <w:p>
      <w:pPr>
        <w:numPr>
          <w:ilvl w:val="-1"/>
          <w:numId w:val="2"/>
        </w:numPr>
        <w:spacing w:after="400" w:line="400" w:lineRule="atLeast"/>
      </w:pPr>
      <w:r>
        <w:rPr>
          <w:b w:val="true"/>
        </w:rPr>
        <w:t>多任务支持</w:t>
      </w:r>
      <w:r>
        <w:t xml:space="preserve">：DeepSeek-R1 可以处理多种任务，包括自然语言理解、推理、代码生成等。</w:t>
      </w:r>
    </w:p>
    <w:p>
      <w:pPr>
        <w:numPr>
          <w:ilvl w:val="-1"/>
          <w:numId w:val="2"/>
        </w:numPr>
        <w:spacing w:after="400" w:line="400" w:lineRule="atLeast"/>
      </w:pPr>
      <w:r>
        <w:rPr>
          <w:b w:val="true"/>
        </w:rPr>
        <w:t>开源与安全性</w:t>
      </w:r>
      <w:r>
        <w:t xml:space="preserve">：DeepSeek-R1 是开源模型，支持安全评估和多阶段拒绝策略，确保模型的可靠性和安全性。</w:t>
      </w:r>
    </w:p>
    <w:p>
      <w:pPr>
        <w:numPr>
          <w:ilvl w:val="-1"/>
          <w:numId w:val="2"/>
        </w:numPr>
        <w:spacing w:after="400" w:line="400" w:lineRule="atLeast"/>
      </w:pPr>
      <w:r>
        <w:rPr>
          <w:b w:val="true"/>
        </w:rPr>
        <w:t>高效推理</w:t>
      </w:r>
      <w:r>
        <w:t xml:space="preserve">：DeepSeek-R1 通过稀疏激活机制，降低了推理成本，适合大规模部署。</w:t>
      </w:r>
    </w:p>
    <w:p>
      <w:pPr>
        <w:spacing w:after="400" w:line="400" w:lineRule="atLeast"/>
      </w:pPr>
      <w:r>
        <w:rPr>
          <w:b/>
          <w:sz w:val="30"/>
        </w:rPr>
        <w:t xml:space="preserve">5. </w:t>
      </w:r>
      <w:r>
        <w:rPr>
          <w:b w:val="true"/>
          <w:sz w:val="30"/>
        </w:rPr>
        <w:t xml:space="preserve">DeepSeek-VL: 多模态视觉语言模型</w:t>
      </w:r>
    </w:p>
    <w:p>
      <w:pPr>
        <w:spacing w:after="400" w:line="400" w:lineRule="atLeast"/>
      </w:pPr>
      <w:r>
        <w:t xml:space="preserve">DeepSeek-VL 是一个开源的多模态模型，结合了视觉和语言能力，支持图像描述、视觉问答、图像生成等任务。该模型通过广泛的预训练数据和精心设计的训练策略，实现了在现实场景中的出色表现 [4]。</w:t>
      </w:r>
    </w:p>
    <w:p>
      <w:pPr>
        <w:spacing w:after="400" w:line="400" w:lineRule="atLeast"/>
      </w:pPr>
      <w:r>
        <w:rPr>
          <w:b w:val="true"/>
          <w:sz w:val="26"/>
        </w:rPr>
        <w:t>主要特点</w:t>
      </w:r>
      <w:r>
        <w:rPr>
          <w:b/>
          <w:sz w:val="26"/>
        </w:rPr>
        <w:t>：</w:t>
      </w:r>
    </w:p>
    <w:p>
      <w:pPr>
        <w:numPr>
          <w:ilvl w:val="-1"/>
          <w:numId w:val="1"/>
        </w:numPr>
        <w:spacing w:after="400" w:line="400" w:lineRule="atLeast"/>
      </w:pPr>
      <w:r>
        <w:rPr>
          <w:b w:val="true"/>
        </w:rPr>
        <w:t>多模态支持</w:t>
      </w:r>
      <w:r>
        <w:t xml:space="preserve">：DeepSeek-VL 支持图像、文本等多种数据类型，能够处理复杂的视觉语言任务。</w:t>
      </w:r>
    </w:p>
    <w:p>
      <w:pPr>
        <w:numPr>
          <w:ilvl w:val="-1"/>
          <w:numId w:val="1"/>
        </w:numPr>
        <w:spacing w:after="400" w:line="400" w:lineRule="atLeast"/>
      </w:pPr>
      <w:r>
        <w:rPr>
          <w:b w:val="true"/>
        </w:rPr>
        <w:t>高效训练</w:t>
      </w:r>
      <w:r>
        <w:t xml:space="preserve">：DeepSeek-VL 通过混合视觉编码器和语言模型，实现了高效的训练和推理。</w:t>
      </w:r>
    </w:p>
    <w:p>
      <w:pPr>
        <w:numPr>
          <w:ilvl w:val="-1"/>
          <w:numId w:val="1"/>
        </w:numPr>
        <w:spacing w:after="400" w:line="400" w:lineRule="atLeast"/>
      </w:pPr>
      <w:r>
        <w:rPr>
          <w:b w:val="true"/>
        </w:rPr>
        <w:t>开源与实用性</w:t>
      </w:r>
      <w:r>
        <w:t xml:space="preserve">：DeepSeek-VL 是开源模型，支持广泛的部署和应用，适合科研和工业场景。</w:t>
      </w:r>
    </w:p>
    <w:p>
      <w:pPr>
        <w:spacing w:after="400" w:line="400" w:lineRule="atLeast"/>
      </w:pPr>
      <w:r>
        <w:rPr>
          <w:b/>
          <w:sz w:val="30"/>
        </w:rPr>
        <w:t xml:space="preserve">6. </w:t>
      </w:r>
      <w:r>
        <w:rPr>
          <w:b w:val="true"/>
          <w:sz w:val="30"/>
        </w:rPr>
        <w:t xml:space="preserve">DeepSeek-Coder: 代码生成模型</w:t>
      </w:r>
    </w:p>
    <w:p>
      <w:pPr>
        <w:spacing w:after="400" w:line="400" w:lineRule="atLeast"/>
      </w:pPr>
      <w:r>
        <w:t xml:space="preserve">DeepSeek-Coder 是一个专注于代码生成的模型，支持多种编程语言，能够生成高质量的代码解决方案。该模型在多个代码基准测试中表现出色，尤其在 Python 和 C++ 任务中表现优异 [6]。</w:t>
      </w:r>
    </w:p>
    <w:p>
      <w:pPr>
        <w:spacing w:after="400" w:line="400" w:lineRule="atLeast"/>
      </w:pPr>
      <w:r>
        <w:rPr>
          <w:b w:val="true"/>
          <w:sz w:val="26"/>
        </w:rPr>
        <w:t>主要特点</w:t>
      </w:r>
      <w:r>
        <w:rPr>
          <w:b/>
          <w:sz w:val="26"/>
        </w:rPr>
        <w:t>：</w:t>
      </w:r>
    </w:p>
    <w:p>
      <w:pPr>
        <w:numPr>
          <w:ilvl w:val="-1"/>
          <w:numId w:val="4"/>
        </w:numPr>
        <w:spacing w:after="400" w:line="400" w:lineRule="atLeast"/>
      </w:pPr>
      <w:r>
        <w:rPr>
          <w:b w:val="true"/>
        </w:rPr>
        <w:t>多语言支持</w:t>
      </w:r>
      <w:r>
        <w:t xml:space="preserve">：DeepSeek-Coder 支持多种编程语言，能够生成高质量的代码解决方案。</w:t>
      </w:r>
    </w:p>
    <w:p>
      <w:pPr>
        <w:numPr>
          <w:ilvl w:val="-1"/>
          <w:numId w:val="4"/>
        </w:numPr>
        <w:spacing w:after="400" w:line="400" w:lineRule="atLeast"/>
      </w:pPr>
      <w:r>
        <w:rPr>
          <w:b w:val="true"/>
        </w:rPr>
        <w:t>高效推理</w:t>
      </w:r>
      <w:r>
        <w:t xml:space="preserve">：DeepSeek-Coder 通过稀疏激活机制，降低了推理成本，适合大规模部署。</w:t>
      </w:r>
    </w:p>
    <w:p>
      <w:pPr>
        <w:numPr>
          <w:ilvl w:val="-1"/>
          <w:numId w:val="4"/>
        </w:numPr>
        <w:spacing w:after="400" w:line="400" w:lineRule="atLeast"/>
      </w:pPr>
      <w:r>
        <w:rPr>
          <w:b w:val="true"/>
        </w:rPr>
        <w:t>开源与实用性</w:t>
      </w:r>
      <w:r>
        <w:t xml:space="preserve">：DeepSeek-Coder 是开源模型，支持广泛的部署和应用，适合科研和工业场景。</w:t>
      </w:r>
    </w:p>
    <w:p>
      <w:pPr>
        <w:spacing w:after="400" w:line="400" w:lineRule="atLeast"/>
      </w:pPr>
      <w:r>
        <w:rPr>
          <w:b/>
          <w:sz w:val="30"/>
        </w:rPr>
        <w:t xml:space="preserve">7. </w:t>
      </w:r>
      <w:r>
        <w:rPr>
          <w:b w:val="true"/>
          <w:sz w:val="30"/>
        </w:rPr>
        <w:t xml:space="preserve">DeepSeek-Math: 数学推理模型</w:t>
      </w:r>
    </w:p>
    <w:p>
      <w:pPr>
        <w:spacing w:after="400" w:line="400" w:lineRule="atLeast"/>
      </w:pPr>
      <w:r>
        <w:t xml:space="preserve">DeepSeek-Math 是一个专注于数学推理的模型，支持多种数学任务，包括代数、几何、微积分等。该模型在多个数学基准测试中表现出色，尤其在高中数学和大学数学任务中表现优异 [16]。</w:t>
      </w:r>
    </w:p>
    <w:p>
      <w:pPr>
        <w:spacing w:after="400" w:line="400" w:lineRule="atLeast"/>
      </w:pPr>
      <w:r>
        <w:rPr>
          <w:b w:val="true"/>
          <w:sz w:val="26"/>
        </w:rPr>
        <w:t>主要特点</w:t>
      </w:r>
      <w:r>
        <w:rPr>
          <w:b/>
          <w:sz w:val="26"/>
        </w:rPr>
        <w:t>：</w:t>
      </w:r>
    </w:p>
    <w:p>
      <w:pPr>
        <w:numPr>
          <w:ilvl w:val="-1"/>
          <w:numId w:val="5"/>
        </w:numPr>
        <w:spacing w:after="400" w:line="400" w:lineRule="atLeast"/>
      </w:pPr>
      <w:r>
        <w:rPr>
          <w:b w:val="true"/>
        </w:rPr>
        <w:t>数学推理能力</w:t>
      </w:r>
      <w:r>
        <w:t xml:space="preserve">：DeepSeek-Math 通过专门的数学推理训练，能够解决复杂的数学问题。</w:t>
      </w:r>
    </w:p>
    <w:p>
      <w:pPr>
        <w:numPr>
          <w:ilvl w:val="-1"/>
          <w:numId w:val="5"/>
        </w:numPr>
        <w:spacing w:after="400" w:line="400" w:lineRule="atLeast"/>
      </w:pPr>
      <w:r>
        <w:rPr>
          <w:b w:val="true"/>
        </w:rPr>
        <w:t>高效推理</w:t>
      </w:r>
      <w:r>
        <w:t xml:space="preserve">：DeepSeek-Math 通过稀疏激活机制，降低了推理成本，适合大规模部署。</w:t>
      </w:r>
    </w:p>
    <w:p>
      <w:pPr>
        <w:numPr>
          <w:ilvl w:val="-1"/>
          <w:numId w:val="5"/>
        </w:numPr>
        <w:spacing w:after="400" w:line="400" w:lineRule="atLeast"/>
      </w:pPr>
      <w:r>
        <w:rPr>
          <w:b w:val="true"/>
        </w:rPr>
        <w:t>开源与实用性</w:t>
      </w:r>
      <w:r>
        <w:t xml:space="preserve">：DeepSeek-Math 是开源模型，支持广泛的部署和应用，适合科研和工业场景。</w:t>
      </w:r>
    </w:p>
    <w:p>
      <w:pPr>
        <w:spacing w:after="400" w:line="400" w:lineRule="atLeast"/>
      </w:pPr>
      <w:r>
        <w:rPr>
          <w:b/>
          <w:sz w:val="30"/>
        </w:rPr>
        <w:t xml:space="preserve">8. </w:t>
      </w:r>
      <w:r>
        <w:rPr>
          <w:b w:val="true"/>
          <w:sz w:val="30"/>
        </w:rPr>
        <w:t xml:space="preserve">DeepSeek 的安全与伦理</w:t>
      </w:r>
    </w:p>
    <w:p>
      <w:pPr>
        <w:spacing w:after="400" w:line="400" w:lineRule="atLeast"/>
      </w:pPr>
      <w:r>
        <w:t xml:space="preserve">DeepSeek 模型在安全性和伦理方面也进行了深入研究。研究表明，DeepSeek 模型在应对越狱攻击（jailbreak attacks）方面表现出一定的优势，但仍然存在一些局限性。例如，DeepSeek 模型在某些攻击类型（如梯度攻击）中表现出较高的脆弱性，而在其他攻击类型（如人工设计的攻击）中则表现出较强的鲁棒性 [7]。</w:t>
      </w:r>
    </w:p>
    <w:p>
      <w:pPr>
        <w:spacing w:after="400" w:line="400" w:lineRule="atLeast"/>
      </w:pPr>
      <w:r>
        <w:rPr>
          <w:b/>
          <w:sz w:val="30"/>
        </w:rPr>
        <w:t xml:space="preserve">9. </w:t>
      </w:r>
      <w:r>
        <w:rPr>
          <w:b w:val="true"/>
          <w:sz w:val="30"/>
        </w:rPr>
        <w:t xml:space="preserve">DeepSeek 的未来发展方向</w:t>
      </w:r>
    </w:p>
    <w:p>
      <w:pPr>
        <w:spacing w:after="400" w:line="400" w:lineRule="atLeast"/>
      </w:pPr>
      <w:r>
        <w:t xml:space="preserve">DeepSeek-AI 未来将继续致力于推动开源大模型的发展，特别是在数学、代码、多模态和推理等领域的创新。DeepSeek 的目标是构建一个具有通用人工智能能力的模型，能够在多个领域提供高质量的解决方案，并通过长期主义视角推动人工智能的进步 [6]。</w:t>
      </w:r>
    </w:p>
    <w:p>
      <w:pPr>
        <w:spacing w:after="400" w:line="400" w:lineRule="atLeast"/>
      </w:pPr>
      <w:r>
        <w:rPr>
          <w:b/>
          <w:sz w:val="30"/>
        </w:rPr>
        <w:t>总结</w:t>
      </w:r>
    </w:p>
    <w:p>
      <w:pPr>
        <w:spacing w:after="400" w:line="400" w:lineRule="atLeast"/>
      </w:pPr>
      <w:r>
        <w:t xml:space="preserve">DeepSeek 是一个涵盖多个领域的深度学习模型系列，包括图像检索、自然语言处理、多模态理解、数学推理和代码生成等。DeepSeek 模型在性能、效率和安全性方面表现出色，尤其在数学、代码和多语言任务中表现优异。DeepSeek 的开源特性使其在科研和工业场景中得到了广泛应用，并将继续推动人工智能的发展。</w:t>
      </w:r>
    </w:p>
    <w:p>
      <w:pPr>
        <w:pStyle w:val="Heading2"/>
        <w:spacing w:after="400" w:line="400" w:lineRule="atLeast"/>
      </w:pPr>
      <w:r>
        <w:t>相关事件</w:t>
      </w:r>
    </w:p>
    <w:tb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2074"/>
        <w:gridCol w:w="2074"/>
        <w:gridCol w:w="2074"/>
        <w:gridCol w:w="2074"/>
      </w:tblGrid>
      <w:tr>
        <w:tc>
          <w:tcPr>
            <w:tcW w:w="2074" w:type="dxa"/>
            <w:tcBorders/>
          </w:tcPr>
          <w:p>
            <w:pPr>
              <w:spacing w:after="400" w:line="400" w:lineRule="exact"/>
            </w:pPr>
            <w:r>
              <w:rPr>
                <w:b w:val="true"/>
              </w:rPr>
              <w:t>事件名称</w:t>
            </w:r>
          </w:p>
        </w:tc>
        <w:tc>
          <w:tcPr>
            <w:tcW w:w="2074" w:type="dxa"/>
            <w:tcBorders/>
          </w:tcPr>
          <w:p>
            <w:pPr>
              <w:spacing w:after="400" w:line="400" w:lineRule="exact"/>
            </w:pPr>
            <w:r>
              <w:rPr>
                <w:b w:val="true"/>
              </w:rPr>
              <w:t>事件时间</w:t>
            </w:r>
          </w:p>
        </w:tc>
        <w:tc>
          <w:tcPr>
            <w:tcW w:w="2074" w:type="dxa"/>
            <w:tcBorders/>
          </w:tcPr>
          <w:p>
            <w:pPr>
              <w:spacing w:after="400" w:line="400" w:lineRule="exact"/>
            </w:pPr>
            <w:r>
              <w:rPr>
                <w:b w:val="true"/>
              </w:rPr>
              <w:t>事件概述</w:t>
            </w:r>
          </w:p>
        </w:tc>
        <w:tc>
          <w:tcPr>
            <w:tcW w:w="2074" w:type="dxa"/>
            <w:tcBorders/>
          </w:tcPr>
          <w:p>
            <w:pPr>
              <w:spacing w:after="400" w:line="400" w:lineRule="exact"/>
            </w:pPr>
            <w:r>
              <w:rPr>
                <w:b w:val="true"/>
              </w:rPr>
              <w:t>类型</w:t>
            </w:r>
          </w:p>
        </w:tc>
      </w:tr>
      <w:tr>
        <w:tc>
          <w:tcPr>
            <w:tcW w:w="2074" w:type="dxa"/>
            <w:tcBorders/>
          </w:tcPr>
          <w:p>
            <w:pPr>
              <w:spacing w:after="400" w:line="400" w:lineRule="exact"/>
            </w:pPr>
            <w:r>
              <w:t>DeepSeek-V2模型发布</w:t>
            </w:r>
          </w:p>
        </w:tc>
        <w:tc>
          <w:tcPr>
            <w:tcW w:w="2074" w:type="dxa"/>
            <w:tcBorders/>
          </w:tcPr>
          <w:p>
            <w:pPr>
              <w:spacing w:after="400" w:line="400" w:lineRule="exact"/>
            </w:pPr>
            <w:r>
              <w:t>2024-05-07</w:t>
            </w:r>
          </w:p>
        </w:tc>
        <w:tc>
          <w:tcPr>
            <w:tcW w:w="2074" w:type="dxa"/>
            <w:tcBorders/>
          </w:tcPr>
          <w:p>
            <w:pPr>
              <w:spacing w:after="400" w:line="400" w:lineRule="exact"/>
            </w:pPr>
            <w:r>
              <w:t xml:space="preserve">DeepSeek-V2是一个强大的、经济高效的Mixture-of-Experts（MoE）语言模型，支持128K上下文长度，相比DeepSeek 67B在训练成本、KV缓存和生成吞吐量上都有显著改进。</w:t>
            </w:r>
          </w:p>
        </w:tc>
        <w:tc>
          <w:tcPr>
            <w:tcW w:w="2074" w:type="dxa"/>
            <w:tcBorders/>
          </w:tcPr>
          <w:p>
            <w:pPr>
              <w:spacing w:after="400" w:line="400" w:lineRule="exact"/>
            </w:pPr>
            <w:r>
              <w:t>技术发布</w:t>
            </w:r>
          </w:p>
        </w:tc>
      </w:tr>
      <w:tr>
        <w:tc>
          <w:tcPr>
            <w:tcW w:w="2074" w:type="dxa"/>
            <w:tcBorders/>
          </w:tcPr>
          <w:p>
            <w:pPr>
              <w:spacing w:after="400" w:line="400" w:lineRule="exact"/>
            </w:pPr>
            <w:r>
              <w:t xml:space="preserve">DeepSeek LLM项目启动</w:t>
            </w:r>
          </w:p>
        </w:tc>
        <w:tc>
          <w:tcPr>
            <w:tcW w:w="2074" w:type="dxa"/>
            <w:tcBorders/>
          </w:tcPr>
          <w:p>
            <w:pPr>
              <w:spacing w:after="400" w:line="400" w:lineRule="exact"/>
            </w:pPr>
            <w:r>
              <w:t>2024-01-05</w:t>
            </w:r>
          </w:p>
        </w:tc>
        <w:tc>
          <w:tcPr>
            <w:tcW w:w="2074" w:type="dxa"/>
            <w:tcBorders/>
          </w:tcPr>
          <w:p>
            <w:pPr>
              <w:spacing w:after="400" w:line="400" w:lineRule="exact"/>
            </w:pPr>
            <w:r>
              <w:t xml:space="preserve">DeepSeek LLM是一个旨在通过长期主义推进开源语言模型发展的项目，使用了2万亿令牌的数据集，并进行了监督微调和直接偏好优化。</w:t>
            </w:r>
          </w:p>
        </w:tc>
        <w:tc>
          <w:tcPr>
            <w:tcW w:w="2074" w:type="dxa"/>
            <w:tcBorders/>
          </w:tcPr>
          <w:p>
            <w:pPr>
              <w:spacing w:after="400" w:line="400" w:lineRule="exact"/>
            </w:pPr>
            <w:r>
              <w:t>项目启动</w:t>
            </w:r>
          </w:p>
        </w:tc>
      </w:tr>
      <w:tr>
        <w:tc>
          <w:tcPr>
            <w:tcW w:w="2074" w:type="dxa"/>
            <w:tcBorders/>
          </w:tcPr>
          <w:p>
            <w:pPr>
              <w:spacing w:after="400" w:line="400" w:lineRule="exact"/>
            </w:pPr>
            <w:r>
              <w:t xml:space="preserve">DeepSeek Coder-V2模型发布</w:t>
            </w:r>
          </w:p>
        </w:tc>
        <w:tc>
          <w:tcPr>
            <w:tcW w:w="2074" w:type="dxa"/>
            <w:tcBorders/>
          </w:tcPr>
          <w:p>
            <w:pPr>
              <w:spacing w:after="400" w:line="400" w:lineRule="exact"/>
            </w:pPr>
            <w:r>
              <w:t>未明确提及具体时间</w:t>
            </w:r>
          </w:p>
        </w:tc>
        <w:tc>
          <w:tcPr>
            <w:tcW w:w="2074" w:type="dxa"/>
            <w:tcBorders/>
          </w:tcPr>
          <w:p>
            <w:pPr>
              <w:spacing w:after="400" w:line="400" w:lineRule="exact"/>
            </w:pPr>
            <w:r>
              <w:t xml:space="preserve">DeepSeek Coder-V2在编码能力方面取得进步，并引起科技媒体关注，被认为与OpenAI的GPT-4相当。</w:t>
            </w:r>
          </w:p>
        </w:tc>
        <w:tc>
          <w:tcPr>
            <w:tcW w:w="2074" w:type="dxa"/>
            <w:tcBorders/>
          </w:tcPr>
          <w:p>
            <w:pPr>
              <w:spacing w:after="400" w:line="400" w:lineRule="exact"/>
            </w:pPr>
            <w:r>
              <w:t>技术发布</w:t>
            </w:r>
          </w:p>
        </w:tc>
      </w:tr>
      <w:tr>
        <w:tc>
          <w:tcPr>
            <w:tcW w:w="2074" w:type="dxa"/>
            <w:tcBorders/>
          </w:tcPr>
          <w:p>
            <w:pPr>
              <w:spacing w:after="400" w:line="400" w:lineRule="exact"/>
            </w:pPr>
            <w:r>
              <w:t>数学推理能力研究进展</w:t>
            </w:r>
          </w:p>
        </w:tc>
        <w:tc>
          <w:tcPr>
            <w:tcW w:w="2074" w:type="dxa"/>
            <w:tcBorders/>
          </w:tcPr>
          <w:p>
            <w:pPr>
              <w:spacing w:after="400" w:line="400" w:lineRule="exact"/>
            </w:pPr>
            <w:r>
              <w:t>未明确提及具体时间</w:t>
            </w:r>
          </w:p>
        </w:tc>
        <w:tc>
          <w:tcPr>
            <w:tcW w:w="2074" w:type="dxa"/>
            <w:tcBorders/>
          </w:tcPr>
          <w:p>
            <w:pPr>
              <w:spacing w:after="400" w:line="400" w:lineRule="exact"/>
            </w:pPr>
            <w:r>
              <w:t>DeepSeek模型在数学推理方面表现出色，与五种主流LLMs进行了比较，证明了其强大的数学推理能力。</w:t>
            </w:r>
          </w:p>
        </w:tc>
        <w:tc>
          <w:tcPr>
            <w:tcW w:w="2074" w:type="dxa"/>
            <w:tcBorders/>
          </w:tcPr>
          <w:p>
            <w:pPr>
              <w:spacing w:after="400" w:line="400" w:lineRule="exact"/>
            </w:pPr>
            <w:r>
              <w:t>研究进展</w:t>
            </w:r>
          </w:p>
        </w:tc>
      </w:tr>
      <w:tr>
        <w:tc>
          <w:tcPr>
            <w:tcW w:w="2074" w:type="dxa"/>
            <w:tcBorders/>
          </w:tcPr>
          <w:p>
            <w:pPr>
              <w:spacing w:after="400" w:line="400" w:lineRule="exact"/>
            </w:pPr>
            <w:r>
              <w:t xml:space="preserve">安全评估与 Jailbreak 攻击防护</w:t>
            </w:r>
          </w:p>
        </w:tc>
        <w:tc>
          <w:tcPr>
            <w:tcW w:w="2074" w:type="dxa"/>
            <w:tcBorders/>
          </w:tcPr>
          <w:p>
            <w:pPr>
              <w:spacing w:after="400" w:line="400" w:lineRule="exact"/>
            </w:pPr>
            <w:r>
              <w:t>未明确提及具体时间</w:t>
            </w:r>
          </w:p>
        </w:tc>
        <w:tc>
          <w:tcPr>
            <w:tcW w:w="2074" w:type="dxa"/>
            <w:tcBorders/>
          </w:tcPr>
          <w:p>
            <w:pPr>
              <w:spacing w:after="400" w:line="400" w:lineRule="exact"/>
            </w:pPr>
            <w:r>
              <w:t xml:space="preserve">DeepSeek Distill系列模型在安全性方面进行了评估，采用多阶段拒绝策略，并对指令和视觉多模态攻击具有鲁棒性。</w:t>
            </w:r>
          </w:p>
        </w:tc>
        <w:tc>
          <w:tcPr>
            <w:tcW w:w="2074" w:type="dxa"/>
            <w:tcBorders/>
          </w:tcPr>
          <w:p>
            <w:pPr>
              <w:spacing w:after="400" w:line="400" w:lineRule="exact"/>
            </w:pPr>
            <w:r>
              <w:t>安全评估</w:t>
            </w:r>
          </w:p>
        </w:tc>
      </w:tr>
    </w:tbl>
    <w:p>
      <w:pPr>
        <w:pStyle w:val="Heading2"/>
        <w:spacing w:before="400" w:after="400" w:line="400" w:lineRule="atLeast"/>
      </w:pPr>
      <w:r>
        <w:t>相关组织</w:t>
      </w:r>
    </w:p>
    <w:tb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2765"/>
        <w:gridCol w:w="2765"/>
        <w:gridCol w:w="2765"/>
      </w:tblGrid>
      <w:tr>
        <w:tc>
          <w:tcPr>
            <w:tcW w:w="2765" w:type="dxa"/>
            <w:tcBorders/>
          </w:tcPr>
          <w:p>
            <w:pPr>
              <w:spacing w:after="400" w:line="400" w:lineRule="exact"/>
            </w:pPr>
            <w:r>
              <w:rPr>
                <w:b w:val="true"/>
              </w:rPr>
              <w:t>组织名称</w:t>
            </w:r>
          </w:p>
        </w:tc>
        <w:tc>
          <w:tcPr>
            <w:tcW w:w="2765" w:type="dxa"/>
            <w:tcBorders/>
          </w:tcPr>
          <w:p>
            <w:pPr>
              <w:spacing w:after="400" w:line="400" w:lineRule="exact"/>
            </w:pPr>
            <w:r>
              <w:rPr>
                <w:b w:val="true"/>
              </w:rPr>
              <w:t>概述</w:t>
            </w:r>
          </w:p>
        </w:tc>
        <w:tc>
          <w:tcPr>
            <w:tcW w:w="2765" w:type="dxa"/>
            <w:tcBorders/>
          </w:tcPr>
          <w:p>
            <w:pPr>
              <w:spacing w:after="400" w:line="400" w:lineRule="exact"/>
            </w:pPr>
            <w:r>
              <w:rPr>
                <w:b w:val="true"/>
              </w:rPr>
              <w:t>类型</w:t>
            </w:r>
          </w:p>
        </w:tc>
      </w:tr>
      <w:tr>
        <w:tc>
          <w:tcPr>
            <w:tcW w:w="2765" w:type="dxa"/>
            <w:tcBorders/>
          </w:tcPr>
          <w:p>
            <w:pPr>
              <w:spacing w:after="400" w:line="400" w:lineRule="exact"/>
            </w:pPr>
            <w:r>
              <w:t>DeepSeek-AI</w:t>
            </w:r>
          </w:p>
        </w:tc>
        <w:tc>
          <w:tcPr>
            <w:tcW w:w="2765" w:type="dxa"/>
            <w:tcBorders/>
          </w:tcPr>
          <w:p>
            <w:pPr>
              <w:spacing w:after="400" w:line="400" w:lineRule="exact"/>
            </w:pPr>
            <w:r>
              <w:t>一家专注于开发和研究自然语言处理模型的公司，开发了DeepSeek系列语言模型。</w:t>
            </w:r>
          </w:p>
        </w:tc>
        <w:tc>
          <w:tcPr>
            <w:tcW w:w="2765" w:type="dxa"/>
            <w:tcBorders/>
          </w:tcPr>
          <w:p>
            <w:pPr>
              <w:spacing w:after="400" w:line="400" w:lineRule="exact"/>
            </w:pPr>
            <w:r>
              <w:t>科技/人工智能</w:t>
            </w:r>
          </w:p>
        </w:tc>
      </w:tr>
      <w:tr>
        <w:tc>
          <w:tcPr>
            <w:tcW w:w="2765" w:type="dxa"/>
            <w:tcBorders/>
          </w:tcPr>
          <w:p>
            <w:pPr>
              <w:spacing w:after="400" w:line="400" w:lineRule="exact"/>
            </w:pPr>
            <w:r>
              <w:t>OpenAI</w:t>
            </w:r>
          </w:p>
        </w:tc>
        <w:tc>
          <w:tcPr>
            <w:tcW w:w="2765" w:type="dxa"/>
            <w:tcBorders/>
          </w:tcPr>
          <w:p>
            <w:pPr>
              <w:spacing w:after="400" w:line="400" w:lineRule="exact"/>
            </w:pPr>
            <w:r>
              <w:t>一家致力于人工智能研究和开发的公司，开发了GPT系列模型。</w:t>
            </w:r>
          </w:p>
        </w:tc>
        <w:tc>
          <w:tcPr>
            <w:tcW w:w="2765" w:type="dxa"/>
            <w:tcBorders/>
          </w:tcPr>
          <w:p>
            <w:pPr>
              <w:spacing w:after="400" w:line="400" w:lineRule="exact"/>
            </w:pPr>
            <w:r>
              <w:t>科技/人工智能</w:t>
            </w:r>
          </w:p>
        </w:tc>
      </w:tr>
      <w:tr>
        <w:tc>
          <w:tcPr>
            <w:tcW w:w="2765" w:type="dxa"/>
            <w:tcBorders/>
          </w:tcPr>
          <w:p>
            <w:pPr>
              <w:spacing w:after="400" w:line="400" w:lineRule="exact"/>
            </w:pPr>
            <w:r>
              <w:t>清华大学</w:t>
            </w:r>
          </w:p>
        </w:tc>
        <w:tc>
          <w:tcPr>
            <w:tcW w:w="2765" w:type="dxa"/>
            <w:tcBorders/>
          </w:tcPr>
          <w:p>
            <w:pPr>
              <w:spacing w:after="400" w:line="400" w:lineRule="exact"/>
            </w:pPr>
            <w:r>
              <w:t xml:space="preserve">中国顶尖的综合性大学，DeepSeek Distill系列由其下属机构开发。</w:t>
            </w:r>
          </w:p>
        </w:tc>
        <w:tc>
          <w:tcPr>
            <w:tcW w:w="2765" w:type="dxa"/>
            <w:tcBorders/>
          </w:tcPr>
          <w:p>
            <w:pPr>
              <w:spacing w:after="400" w:line="400" w:lineRule="exact"/>
            </w:pPr>
            <w:r>
              <w:t>教育/研究机构</w:t>
            </w:r>
          </w:p>
        </w:tc>
      </w:tr>
    </w:tbl>
    <w:p>
      <w:pPr>
        <w:pStyle w:val="Heading2"/>
        <w:spacing w:before="400" w:after="400" w:line="400" w:lineRule="atLeast"/>
      </w:pPr>
      <w:r>
        <w:t>汇总表格</w:t>
      </w:r>
    </w:p>
    <w:tb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1185"/>
        <w:gridCol w:w="1185"/>
        <w:gridCol w:w="1185"/>
        <w:gridCol w:w="1185"/>
        <w:gridCol w:w="1185"/>
        <w:gridCol w:w="1185"/>
        <w:gridCol w:w="1185"/>
      </w:tblGrid>
      <w:tr>
        <w:tc>
          <w:tcPr>
            <w:tcW w:w="1185" w:type="dxa"/>
            <w:tcBorders/>
          </w:tcPr>
          <w:p>
            <w:pPr>
              <w:spacing w:after="400" w:line="400" w:lineRule="exact"/>
            </w:pPr>
            <w:r>
              <w:rPr>
                <w:b w:val="true"/>
              </w:rPr>
              <w:t>模型名称</w:t>
            </w:r>
          </w:p>
        </w:tc>
        <w:tc>
          <w:tcPr>
            <w:tcW w:w="1185" w:type="dxa"/>
            <w:tcBorders/>
          </w:tcPr>
          <w:p>
            <w:pPr>
              <w:spacing w:after="400" w:line="400" w:lineRule="exact"/>
            </w:pPr>
            <w:r>
              <w:rPr>
                <w:b w:val="true"/>
              </w:rPr>
              <w:t>模型类型</w:t>
            </w:r>
          </w:p>
        </w:tc>
        <w:tc>
          <w:tcPr>
            <w:tcW w:w="1185" w:type="dxa"/>
            <w:tcBorders/>
          </w:tcPr>
          <w:p>
            <w:pPr>
              <w:spacing w:after="400" w:line="400" w:lineRule="exact"/>
            </w:pPr>
            <w:r>
              <w:rPr>
                <w:b w:val="true"/>
              </w:rPr>
              <w:t>参数规模</w:t>
            </w:r>
          </w:p>
        </w:tc>
        <w:tc>
          <w:tcPr>
            <w:tcW w:w="1185" w:type="dxa"/>
            <w:tcBorders/>
          </w:tcPr>
          <w:p>
            <w:pPr>
              <w:spacing w:after="400" w:line="400" w:lineRule="exact"/>
            </w:pPr>
            <w:r>
              <w:rPr>
                <w:b w:val="true"/>
              </w:rPr>
              <w:t>上下文长度</w:t>
            </w:r>
          </w:p>
        </w:tc>
        <w:tc>
          <w:tcPr>
            <w:tcW w:w="1185" w:type="dxa"/>
            <w:tcBorders/>
          </w:tcPr>
          <w:p>
            <w:pPr>
              <w:spacing w:after="400" w:line="400" w:lineRule="exact"/>
            </w:pPr>
            <w:r>
              <w:rPr>
                <w:b w:val="true"/>
              </w:rPr>
              <w:t>主要特点</w:t>
            </w:r>
          </w:p>
        </w:tc>
        <w:tc>
          <w:tcPr>
            <w:tcW w:w="1185" w:type="dxa"/>
            <w:tcBorders/>
          </w:tcPr>
          <w:p>
            <w:pPr>
              <w:spacing w:after="400" w:line="400" w:lineRule="exact"/>
            </w:pPr>
            <w:r>
              <w:rPr>
                <w:b w:val="true"/>
              </w:rPr>
              <w:t>评估基准</w:t>
            </w:r>
          </w:p>
        </w:tc>
        <w:tc>
          <w:tcPr>
            <w:tcW w:w="1185" w:type="dxa"/>
            <w:tcBorders/>
          </w:tcPr>
          <w:p>
            <w:pPr>
              <w:spacing w:after="400" w:line="400" w:lineRule="exact"/>
            </w:pPr>
            <w:r>
              <w:rPr>
                <w:b w:val="true"/>
              </w:rPr>
              <w:t>性能表现</w:t>
            </w:r>
          </w:p>
        </w:tc>
      </w:tr>
      <w:tr>
        <w:tc>
          <w:tcPr>
            <w:tcW w:w="1185" w:type="dxa"/>
            <w:tcBorders/>
          </w:tcPr>
          <w:p>
            <w:pPr>
              <w:spacing w:after="400" w:line="400" w:lineRule="exact"/>
            </w:pPr>
            <w:r>
              <w:t>DeepSeek</w:t>
            </w:r>
          </w:p>
        </w:tc>
        <w:tc>
          <w:tcPr>
            <w:tcW w:w="1185" w:type="dxa"/>
            <w:tcBorders/>
          </w:tcPr>
          <w:p>
            <w:pPr>
              <w:spacing w:after="400" w:line="400" w:lineRule="exact"/>
            </w:pPr>
            <w:r>
              <w:t>自然语言处理与深度学习模型</w:t>
            </w:r>
          </w:p>
        </w:tc>
        <w:tc>
          <w:tcPr>
            <w:tcW w:w="1185" w:type="dxa"/>
            <w:tcBorders/>
          </w:tcPr>
          <w:p>
            <w:pPr>
              <w:spacing w:after="400" w:line="400" w:lineRule="exact"/>
            </w:pPr>
            <w:r>
              <w:t>-</w:t>
            </w:r>
          </w:p>
        </w:tc>
        <w:tc>
          <w:tcPr>
            <w:tcW w:w="1185" w:type="dxa"/>
            <w:tcBorders/>
          </w:tcPr>
          <w:p>
            <w:pPr>
              <w:spacing w:after="400" w:line="400" w:lineRule="exact"/>
            </w:pPr>
            <w:r>
              <w:t>-</w:t>
            </w:r>
          </w:p>
        </w:tc>
        <w:tc>
          <w:tcPr>
            <w:tcW w:w="1185" w:type="dxa"/>
            <w:tcBorders/>
          </w:tcPr>
          <w:p>
            <w:pPr>
              <w:spacing w:after="400" w:line="400" w:lineRule="exact"/>
            </w:pPr>
            <w:r>
              <w:t>通过文本查询进行图像搜索和检索，使用两种方法：基于标题的检索和嵌入空间检索。基于标题的检索使用卷积神经网络（CNN）从图像中提取特征，并将输入转换为语义丰富的向量。嵌入空间检索利用SkipThought模型将图像和相关标题投影到语义特征表示空间中。</w:t>
            </w:r>
          </w:p>
        </w:tc>
        <w:tc>
          <w:tcPr>
            <w:tcW w:w="1185" w:type="dxa"/>
            <w:tcBorders/>
          </w:tcPr>
          <w:p>
            <w:pPr>
              <w:spacing w:after="400" w:line="400" w:lineRule="exact"/>
            </w:pPr>
            <w:r>
              <w:t>定量指标如精度（p@k）和定性比较</w:t>
            </w:r>
          </w:p>
        </w:tc>
        <w:tc>
          <w:tcPr>
            <w:tcW w:w="1185" w:type="dxa"/>
            <w:tcBorders/>
          </w:tcPr>
          <w:p>
            <w:pPr>
              <w:spacing w:after="400" w:line="400" w:lineRule="exact"/>
            </w:pPr>
            <w:r>
              <w:t>两种方法都能有效地检索出与查询语义和上下文相关的图像</w:t>
            </w:r>
          </w:p>
        </w:tc>
      </w:tr>
      <w:tr>
        <w:tc>
          <w:tcPr>
            <w:tcW w:w="1185" w:type="dxa"/>
            <w:tcBorders/>
          </w:tcPr>
          <w:p>
            <w:pPr>
              <w:spacing w:after="400" w:line="400" w:lineRule="exact"/>
            </w:pPr>
            <w:r>
              <w:t>DeepSeek-V2</w:t>
            </w:r>
          </w:p>
        </w:tc>
        <w:tc>
          <w:tcPr>
            <w:tcW w:w="1185" w:type="dxa"/>
            <w:tcBorders/>
          </w:tcPr>
          <w:p>
            <w:pPr>
              <w:spacing w:after="400" w:line="400" w:lineRule="exact"/>
            </w:pPr>
            <w:r>
              <w:t xml:space="preserve">Mixture-of-Experts (MoE) 语言模型</w:t>
            </w:r>
          </w:p>
        </w:tc>
        <w:tc>
          <w:tcPr>
            <w:tcW w:w="1185" w:type="dxa"/>
            <w:tcBorders/>
          </w:tcPr>
          <w:p>
            <w:pPr>
              <w:spacing w:after="400" w:line="400" w:lineRule="exact"/>
            </w:pPr>
            <w:r>
              <w:t xml:space="preserve">236B 总参数，21B 激活参数</w:t>
            </w:r>
          </w:p>
        </w:tc>
        <w:tc>
          <w:tcPr>
            <w:tcW w:w="1185" w:type="dxa"/>
            <w:tcBorders/>
          </w:tcPr>
          <w:p>
            <w:pPr>
              <w:spacing w:after="400" w:line="400" w:lineRule="exact"/>
            </w:pPr>
            <w:r>
              <w:t xml:space="preserve">128K 令牌</w:t>
            </w:r>
          </w:p>
        </w:tc>
        <w:tc>
          <w:tcPr>
            <w:tcW w:w="1185" w:type="dxa"/>
            <w:tcBorders/>
          </w:tcPr>
          <w:p>
            <w:pPr>
              <w:spacing w:after="400" w:line="400" w:lineRule="exact"/>
            </w:pPr>
            <w:r>
              <w:t xml:space="preserve">采用创新架构 MLA 和 DeepSeekMoE，支持长上下文长度，经济训练和高效推理。MLA 通过低秩键值联合压缩减少推理时的键值缓存，DeepSeekMoE 通过稀疏计算实现经济成本下的强大模型训练。</w:t>
            </w:r>
          </w:p>
        </w:tc>
        <w:tc>
          <w:tcPr>
            <w:tcW w:w="1185" w:type="dxa"/>
            <w:tcBorders/>
          </w:tcPr>
          <w:p>
            <w:pPr>
              <w:spacing w:after="400" w:line="400" w:lineRule="exact"/>
            </w:pPr>
            <w:r>
              <w:t>多学科多项选择、语言理解与推理、封闭式问答、阅读理解、参考释义、语言建模、中文理解与文化、数学和代码等任务</w:t>
            </w:r>
          </w:p>
        </w:tc>
        <w:tc>
          <w:tcPr>
            <w:tcW w:w="1185" w:type="dxa"/>
            <w:tcBorders/>
          </w:tcPr>
          <w:p>
            <w:pPr>
              <w:spacing w:after="400" w:line="400" w:lineRule="exact"/>
            </w:pPr>
            <w:r>
              <w:t xml:space="preserve">在大多数基准测试中优于其他开源模型，包括 DeepSeek 67B、Qwen1.5 72B、LLaMA3 70B 和 Mixtral 8x22B。训练成本降低 42.5%，KV 缓存减少 93.3%，最大生成吞吐量提高 5.76 倍</w:t>
            </w:r>
          </w:p>
        </w:tc>
      </w:tr>
      <w:tr>
        <w:tc>
          <w:tcPr>
            <w:tcW w:w="1185" w:type="dxa"/>
            <w:tcBorders/>
          </w:tcPr>
          <w:p>
            <w:pPr>
              <w:spacing w:after="400" w:line="400" w:lineRule="exact"/>
            </w:pPr>
            <w:r>
              <w:t>DeepSeek-VL</w:t>
            </w:r>
          </w:p>
        </w:tc>
        <w:tc>
          <w:tcPr>
            <w:tcW w:w="1185" w:type="dxa"/>
            <w:tcBorders/>
          </w:tcPr>
          <w:p>
            <w:pPr>
              <w:spacing w:after="400" w:line="400" w:lineRule="exact"/>
            </w:pPr>
            <w:r>
              <w:t>多模态模型</w:t>
            </w:r>
          </w:p>
        </w:tc>
        <w:tc>
          <w:tcPr>
            <w:tcW w:w="1185" w:type="dxa"/>
            <w:tcBorders/>
          </w:tcPr>
          <w:p>
            <w:pPr>
              <w:spacing w:after="400" w:line="400" w:lineRule="exact"/>
            </w:pPr>
            <w:r>
              <w:t>-</w:t>
            </w:r>
          </w:p>
        </w:tc>
        <w:tc>
          <w:tcPr>
            <w:tcW w:w="1185" w:type="dxa"/>
            <w:tcBorders/>
          </w:tcPr>
          <w:p>
            <w:pPr>
              <w:spacing w:after="400" w:line="400" w:lineRule="exact"/>
            </w:pPr>
            <w:r>
              <w:t>-</w:t>
            </w:r>
          </w:p>
        </w:tc>
        <w:tc>
          <w:tcPr>
            <w:tcW w:w="1185" w:type="dxa"/>
            <w:tcBorders/>
          </w:tcPr>
          <w:p>
            <w:pPr>
              <w:spacing w:after="400" w:line="400" w:lineRule="exact"/>
            </w:pPr>
            <w:r>
              <w:t xml:space="preserve">基于 DeepSeek 语言模型系列构建，结合视觉和语言数据，通过广泛的预训练数据和平衡多模态训练策略实现现实场景中的出色表现。视觉模块采用混合视觉编码器，结合文本对齐编码器和高分辨率编码器。</w:t>
            </w:r>
          </w:p>
        </w:tc>
        <w:tc>
          <w:tcPr>
            <w:tcW w:w="1185" w:type="dxa"/>
            <w:tcBorders/>
          </w:tcPr>
          <w:p>
            <w:pPr>
              <w:spacing w:after="400" w:line="400" w:lineRule="exact"/>
            </w:pPr>
            <w:r>
              <w:t>广泛视觉语言基准测试</w:t>
            </w:r>
          </w:p>
        </w:tc>
        <w:tc>
          <w:tcPr>
            <w:tcW w:w="1185" w:type="dxa"/>
            <w:tcBorders/>
          </w:tcPr>
          <w:p>
            <w:pPr>
              <w:spacing w:after="400" w:line="400" w:lineRule="exact"/>
            </w:pPr>
            <w:r>
              <w:t>在现实应用中展示优越的用户体验和出色表现，同时保持强大的语言中心性能</w:t>
            </w:r>
          </w:p>
        </w:tc>
      </w:tr>
      <w:tr>
        <w:tc>
          <w:tcPr>
            <w:tcW w:w="1185" w:type="dxa"/>
            <w:tcBorders/>
          </w:tcPr>
          <w:p>
            <w:pPr>
              <w:spacing w:after="400" w:line="400" w:lineRule="exact"/>
            </w:pPr>
            <w:r>
              <w:t xml:space="preserve">DeepSeek LLM</w:t>
            </w:r>
          </w:p>
        </w:tc>
        <w:tc>
          <w:tcPr>
            <w:tcW w:w="1185" w:type="dxa"/>
            <w:tcBorders/>
          </w:tcPr>
          <w:p>
            <w:pPr>
              <w:spacing w:after="400" w:line="400" w:lineRule="exact"/>
            </w:pPr>
            <w:r>
              <w:t xml:space="preserve">大型语言模型 (LLM)</w:t>
            </w:r>
          </w:p>
        </w:tc>
        <w:tc>
          <w:tcPr>
            <w:tcW w:w="1185" w:type="dxa"/>
            <w:tcBorders/>
          </w:tcPr>
          <w:p>
            <w:pPr>
              <w:spacing w:after="400" w:line="400" w:lineRule="exact"/>
            </w:pPr>
            <w:r>
              <w:t xml:space="preserve">7B 和 67B</w:t>
            </w:r>
          </w:p>
        </w:tc>
        <w:tc>
          <w:tcPr>
            <w:tcW w:w="1185" w:type="dxa"/>
            <w:tcBorders/>
          </w:tcPr>
          <w:p>
            <w:pPr>
              <w:spacing w:after="400" w:line="400" w:lineRule="exact"/>
            </w:pPr>
            <w:r>
              <w:t>-</w:t>
            </w:r>
          </w:p>
        </w:tc>
        <w:tc>
          <w:tcPr>
            <w:tcW w:w="1185" w:type="dxa"/>
            <w:tcBorders/>
          </w:tcPr>
          <w:p>
            <w:pPr>
              <w:spacing w:after="400" w:line="400" w:lineRule="exact"/>
            </w:pPr>
            <w:r>
              <w:t xml:space="preserve">采用 RMSNorm 函数和 SwiGLU 激活函数，使用 Rotary Embedding 进行位置编码，并使用 Grouped-Query Attention 优化推理成本。宏设计方面，7B 和 67B 模型分别具有 30 层和 95 层的网络结构。</w:t>
            </w:r>
          </w:p>
        </w:tc>
        <w:tc>
          <w:tcPr>
            <w:tcW w:w="1185" w:type="dxa"/>
            <w:tcBorders/>
          </w:tcPr>
          <w:p>
            <w:pPr>
              <w:spacing w:after="400" w:line="400" w:lineRule="exact"/>
            </w:pPr>
            <w:r>
              <w:t>代码、数学、推理等任务</w:t>
            </w:r>
          </w:p>
        </w:tc>
        <w:tc>
          <w:tcPr>
            <w:tcW w:w="1185" w:type="dxa"/>
            <w:tcBorders/>
          </w:tcPr>
          <w:p>
            <w:pPr>
              <w:spacing w:after="400" w:line="400" w:lineRule="exact"/>
            </w:pPr>
            <w:r>
              <w:t xml:space="preserve">在多种基准测试中优于 LLaMA-2 70B 和 GPT-3.5</w:t>
            </w:r>
          </w:p>
        </w:tc>
      </w:tr>
    </w:tbl>
    <w:p>
      <w:pPr>
        <w:pStyle w:val="Heading2"/>
        <w:spacing w:before="400" w:after="400" w:line="400" w:lineRule="atLeast"/>
      </w:pPr>
      <w:r>
        <w:t>参考文献</w:t>
      </w:r>
    </w:p>
    <w:p>
      <w:pPr>
        <w:spacing w:after="200" w:line="400" w:lineRule="atLeast"/>
      </w:pPr>
      <w:hyperlink r:id="rId4">
        <w:r>
          <w:rPr>
            <w:rStyle w:val="DefaultParagraphFont"/>
            <w:color w:val="0563C1"/>
          </w:rPr>
          <w:t xml:space="preserve">1. Tanya Piplani, David Bamman. “DeepSeek: Content Based Image Search &amp; Retrieval.” ArXiv</w:t>
        </w:r>
      </w:hyperlink>
    </w:p>
    <w:p>
      <w:pPr>
        <w:spacing w:after="200" w:line="400" w:lineRule="atLeast"/>
      </w:pPr>
      <w:hyperlink r:id="rId5">
        <w:r>
          <w:rPr>
            <w:rStyle w:val="DefaultParagraphFont"/>
            <w:color w:val="0563C1"/>
          </w:rPr>
          <w:t xml:space="preserve">2. Zhihong Shao, Damai Dai et al. “DeepSeek-V2: A Strong, Economical, and Efficient Mixture-of-Experts Language Model.” ArXiv</w:t>
        </w:r>
      </w:hyperlink>
    </w:p>
    <w:p>
      <w:pPr>
        <w:spacing w:after="200" w:line="400" w:lineRule="atLeast"/>
      </w:pPr>
      <w:hyperlink r:id="rId6">
        <w:r>
          <w:rPr>
            <w:rStyle w:val="DefaultParagraphFont"/>
            <w:color w:val="0563C1"/>
          </w:rPr>
          <w:t xml:space="preserve">3. Zhijie Wang, Yuheng Huang et al. “DeepSeer: Interactive RNN Explanation and Debugging via State Abstraction.” Proceedings of the 2023 CHI Conference on Human Factors in Computing Systems</w:t>
        </w:r>
      </w:hyperlink>
    </w:p>
    <w:p>
      <w:pPr>
        <w:spacing w:after="200" w:line="400" w:lineRule="atLeast"/>
      </w:pPr>
      <w:hyperlink r:id="rId7">
        <w:r>
          <w:rPr>
            <w:rStyle w:val="DefaultParagraphFont"/>
            <w:color w:val="0563C1"/>
          </w:rPr>
          <w:t xml:space="preserve">4. Haoyu Lu, Wen Liu et al. “DeepSeek-VL: Towards Real-World Vision-Language Understanding.” ArXiv</w:t>
        </w:r>
      </w:hyperlink>
    </w:p>
    <w:p>
      <w:pPr>
        <w:spacing w:after="200" w:line="400" w:lineRule="atLeast"/>
      </w:pPr>
      <w:hyperlink r:id="rId8">
        <w:r>
          <w:rPr>
            <w:rStyle w:val="DefaultParagraphFont"/>
            <w:color w:val="0563C1"/>
          </w:rPr>
          <w:t xml:space="preserve">5. Hugo Touvron, Thibaut Lavril et al. “LLaMA: Open and Efficient Foundation Language Models.” ArXiv</w:t>
        </w:r>
      </w:hyperlink>
    </w:p>
    <w:p>
      <w:pPr>
        <w:spacing w:after="200" w:line="400" w:lineRule="atLeast"/>
      </w:pPr>
      <w:hyperlink r:id="rId9">
        <w:r>
          <w:rPr>
            <w:rStyle w:val="DefaultParagraphFont"/>
            <w:color w:val="0563C1"/>
          </w:rPr>
          <w:t xml:space="preserve">6. DeepSeek-AI Xiao Bi, Deli Chen et al. “DeepSeek LLM: Scaling Open-Source Language Models with Longtermism.” ArXiv</w:t>
        </w:r>
      </w:hyperlink>
    </w:p>
    <w:p>
      <w:pPr>
        <w:spacing w:after="200" w:line="400" w:lineRule="atLeast"/>
      </w:pPr>
      <w:hyperlink r:id="rId10">
        <w:r>
          <w:rPr>
            <w:rStyle w:val="DefaultParagraphFont"/>
            <w:color w:val="0563C1"/>
          </w:rPr>
          <w:t xml:space="preserve">7. Xiaodong Wu, Xiangman Li et al. “Security Assessment of DeepSeek and GPT Series Models against Jailbreak Attacks.”</w:t>
        </w:r>
      </w:hyperlink>
    </w:p>
    <w:p>
      <w:pPr>
        <w:spacing w:after="200" w:line="400" w:lineRule="atLeast"/>
      </w:pPr>
      <w:hyperlink r:id="rId11">
        <w:r>
          <w:rPr>
            <w:rStyle w:val="DefaultParagraphFont"/>
            <w:color w:val="0563C1"/>
          </w:rPr>
          <w:t xml:space="preserve">8. Chengen Wang, Murat Kantarcioglu. “A Review of DeepSeek Models' Key Innovative Techniques.”</w:t>
        </w:r>
      </w:hyperlink>
    </w:p>
    <w:p>
      <w:pPr>
        <w:spacing w:after="200" w:line="400" w:lineRule="atLeast"/>
      </w:pPr>
      <w:hyperlink r:id="rId12">
        <w:r>
          <w:rPr>
            <w:rStyle w:val="DefaultParagraphFont"/>
            <w:color w:val="0563C1"/>
          </w:rPr>
          <w:t xml:space="preserve">9. Haoke Zhang, Xiaobo Liang et al. “Unlocking Recursive Thinking of LLMs: Alignment via Refinement.”</w:t>
        </w:r>
      </w:hyperlink>
    </w:p>
    <w:p>
      <w:pPr>
        <w:spacing w:after="200" w:line="400" w:lineRule="atLeast"/>
      </w:pPr>
      <w:hyperlink r:id="rId13">
        <w:r>
          <w:rPr>
            <w:rStyle w:val="DefaultParagraphFont"/>
            <w:color w:val="0563C1"/>
          </w:rPr>
          <w:t xml:space="preserve">10. Henrik Klagges, Robert Dahlke et al. “Assembly of Experts: Linear-time construction of the Chimera LLM variants with emergent and adaptable behaviors.”</w:t>
        </w:r>
      </w:hyperlink>
    </w:p>
    <w:p>
      <w:pPr>
        <w:spacing w:after="200" w:line="400" w:lineRule="atLeast"/>
      </w:pPr>
      <w:hyperlink r:id="rId14">
        <w:r>
          <w:rPr>
            <w:rStyle w:val="DefaultParagraphFont"/>
            <w:color w:val="0563C1"/>
          </w:rPr>
          <w:t xml:space="preserve">11. Justin K Miller, Wenjia Tang. “Evaluating LLM Metrics Through Real-World Capabilities.”</w:t>
        </w:r>
      </w:hyperlink>
    </w:p>
    <w:p>
      <w:pPr>
        <w:spacing w:after="200" w:line="400" w:lineRule="atLeast"/>
      </w:pPr>
      <w:hyperlink r:id="rId15">
        <w:r>
          <w:rPr>
            <w:rStyle w:val="DefaultParagraphFont"/>
            <w:color w:val="0563C1"/>
          </w:rPr>
          <w:t xml:space="preserve">12. DeepSeek-AI, Aixin Liu et al. “DeepSeek-V3 Technical Report.”</w:t>
        </w:r>
      </w:hyperlink>
    </w:p>
    <w:p>
      <w:pPr>
        <w:spacing w:after="200" w:line="400" w:lineRule="atLeast"/>
      </w:pPr>
      <w:hyperlink r:id="rId16">
        <w:r>
          <w:rPr>
            <w:rStyle w:val="DefaultParagraphFont"/>
            <w:color w:val="0563C1"/>
          </w:rPr>
          <w:t xml:space="preserve">13. Anees Ara, Muhammad Mujahid et al. “Chinese DeepSeek: Performance of Various Oversampling Techniques on Public Perceptions Using Natural Language Processing.” Computers, Materials &amp;amp; Continua</w:t>
        </w:r>
      </w:hyperlink>
    </w:p>
    <w:p>
      <w:pPr>
        <w:spacing w:after="200" w:line="400" w:lineRule="atLeast"/>
      </w:pPr>
      <w:hyperlink r:id="rId17">
        <w:r>
          <w:rPr>
            <w:rStyle w:val="DefaultParagraphFont"/>
            <w:color w:val="0563C1"/>
          </w:rPr>
          <w:t xml:space="preserve">14. Jiancheng Ye, Sophie Bronstein et al. “DeepSeek in Healthcare: A Survey of Capabilities, Risks, and Clinical Applications of Open-Source Large Language Models.”</w:t>
        </w:r>
      </w:hyperlink>
    </w:p>
    <w:p>
      <w:pPr>
        <w:spacing w:after="200" w:line="400" w:lineRule="atLeast"/>
      </w:pPr>
      <w:hyperlink r:id="rId18">
        <w:r>
          <w:rPr>
            <w:rStyle w:val="DefaultParagraphFont"/>
            <w:color w:val="0563C1"/>
          </w:rPr>
          <w:t xml:space="preserve">15. M. Ferrag, Fatima Alwahedi et al. “Generative AI and Large Language Models for Cyber Security: All Insights You Need.” ArXiv</w:t>
        </w:r>
      </w:hyperlink>
    </w:p>
    <w:p>
      <w:pPr>
        <w:spacing w:after="200" w:line="400" w:lineRule="atLeast"/>
      </w:pPr>
      <w:hyperlink r:id="rId19">
        <w:r>
          <w:rPr>
            <w:rStyle w:val="DefaultParagraphFont"/>
            <w:color w:val="0563C1"/>
          </w:rPr>
          <w:t xml:space="preserve">16. Afrar Jahin, Arif Hassan Zidan et al. “Unveiling the Mathematical Reasoning in DeepSeek Models: A Comparative Study of Large Language Models.”</w:t>
        </w:r>
      </w:hyperlink>
    </w:p>
    <w:p>
      <w:pPr>
        <w:spacing w:after="200" w:line="400" w:lineRule="atLeast"/>
      </w:pPr>
      <w:hyperlink r:id="rId20">
        <w:r>
          <w:rPr>
            <w:rStyle w:val="DefaultParagraphFont"/>
            <w:color w:val="0563C1"/>
          </w:rPr>
          <w:t xml:space="preserve">17. Dan Hendrycks, Collin Burns et al. “Measuring Massive Multitask Language Understanding.” ArXiv</w:t>
        </w:r>
      </w:hyperlink>
    </w:p>
    <w:p>
      <w:pPr>
        <w:spacing w:after="200" w:line="400" w:lineRule="atLeast"/>
      </w:pPr>
      <w:hyperlink r:id="rId21">
        <w:r>
          <w:rPr>
            <w:rStyle w:val="DefaultParagraphFont"/>
            <w:color w:val="0563C1"/>
          </w:rPr>
          <w:t xml:space="preserve">18. Jacob Austin, Augustus Odena et al. “Program Synthesis with Large Language Models.” ArXiv</w:t>
        </w:r>
      </w:hyperlink>
    </w:p>
    <w:p>
      <w:pPr>
        <w:spacing w:after="200" w:line="400" w:lineRule="atLeast"/>
      </w:pPr>
      <w:hyperlink r:id="rId22">
        <w:r>
          <w:rPr>
            <w:rStyle w:val="DefaultParagraphFont"/>
            <w:color w:val="0563C1"/>
          </w:rPr>
          <w:t xml:space="preserve">19. Rowan Zellers, Ari Holtzman et al. “HellaSwag: Can a Machine Really Finish Your Sentence?.” Annual Meeting of the Association for Computational Linguistics</w:t>
        </w:r>
      </w:hyperlink>
    </w:p>
    <w:p>
      <w:pPr>
        <w:spacing w:after="200" w:line="400" w:lineRule="atLeast"/>
      </w:pPr>
      <w:hyperlink r:id="rId23">
        <w:r>
          <w:rPr>
            <w:rStyle w:val="DefaultParagraphFont"/>
            <w:color w:val="0563C1"/>
          </w:rPr>
          <w:t xml:space="preserve">20. Peter Clark, Isaac Cowhey et al. “Think you have Solved Question Answering? Try ARC, the AI2 Reasoning Challenge.” ArXiv</w:t>
        </w:r>
      </w:hyperlink>
    </w:p>
    <w:p>
      <w:pPr>
        <w:spacing w:after="200" w:line="400" w:lineRule="atLeast"/>
      </w:pPr>
      <w:hyperlink r:id="rId24">
        <w:r>
          <w:rPr>
            <w:rStyle w:val="DefaultParagraphFont"/>
            <w:color w:val="0563C1"/>
          </w:rPr>
          <w:t xml:space="preserve">21. Xuyang Liu, Zichen Wen et al. “Shifting AI Efficiency From Model-Centric to Data-Centric Compression.”</w:t>
        </w:r>
      </w:hyperlink>
    </w:p>
    <w:p>
      <w:pPr>
        <w:spacing w:after="200" w:line="400" w:lineRule="atLeast"/>
      </w:pPr>
      <w:hyperlink r:id="rId25">
        <w:r>
          <w:rPr>
            <w:rStyle w:val="DefaultParagraphFont"/>
            <w:color w:val="0563C1"/>
          </w:rPr>
          <w:t xml:space="preserve">22. Xiaoyun Zhang, Jingqing Ruan et al. “When to Continue Thinking: Adaptive Thinking Mode Switching for Efficient Reasoning.”</w:t>
        </w:r>
      </w:hyperlink>
    </w:p>
    <w:p>
      <w:pPr>
        <w:spacing w:after="200" w:line="400" w:lineRule="atLeast"/>
      </w:pPr>
      <w:hyperlink r:id="rId26">
        <w:r>
          <w:rPr>
            <w:rStyle w:val="DefaultParagraphFont"/>
            <w:color w:val="0563C1"/>
          </w:rPr>
          <w:t xml:space="preserve">23. Sadaf Khan, Zhengyuan Shi et al. “DeepSeq: Deep Sequential Circuit Learning.” 2024 Design, Automation &amp; Test in Europe Conference &amp; Exhibition (DATE)</w:t>
        </w:r>
      </w:hyperlink>
    </w:p>
    <w:p>
      <w:pPr>
        <w:spacing w:after="200" w:line="400" w:lineRule="atLeast"/>
      </w:pPr>
      <w:hyperlink r:id="rId27">
        <w:r>
          <w:rPr>
            <w:rStyle w:val="DefaultParagraphFont"/>
            <w:color w:val="0563C1"/>
          </w:rPr>
          <w:t xml:space="preserve">24. Dan Shao, Lan Huang et al. “DeepSec: a deep learning framework for secreted protein discovery in human body fluids.” Bioinformatics</w:t>
        </w:r>
      </w:hyperlink>
    </w:p>
    <w:p>
      <w:pPr>
        <w:spacing w:after="200" w:line="400" w:lineRule="atLeast"/>
      </w:pPr>
      <w:hyperlink r:id="rId28">
        <w:r>
          <w:rPr>
            <w:rStyle w:val="DefaultParagraphFont"/>
            <w:color w:val="0563C1"/>
          </w:rPr>
          <w:t xml:space="preserve">25. 孙淑娟,过弋,钱梦薇.融合上下文信息的个性化序列推荐深度学习模型[J].小型微型计算机系统,2021.</w:t>
        </w:r>
      </w:hyperlink>
    </w:p>
    <w:p>
      <w:pPr>
        <w:spacing w:after="200" w:line="400" w:lineRule="atLeast"/>
      </w:pPr>
      <w:hyperlink r:id="rId29">
        <w:r>
          <w:rPr>
            <w:rStyle w:val="DefaultParagraphFont"/>
            <w:color w:val="0563C1"/>
          </w:rPr>
          <w:t xml:space="preserve">26. Mikhail Menschikov, Dmitry Evseev et al. “PersonalAI: Towards digital twins in the graph form.”</w:t>
        </w:r>
      </w:hyperlink>
    </w:p>
    <w:p>
      <w:pPr>
        <w:spacing w:after="200" w:line="400" w:lineRule="atLeast"/>
      </w:pPr>
      <w:hyperlink r:id="rId30">
        <w:r>
          <w:rPr>
            <w:rStyle w:val="DefaultParagraphFont"/>
            <w:color w:val="0563C1"/>
          </w:rPr>
          <w:t xml:space="preserve">27. Minghao Shao, Boyuan Chen et al. “An Empirical Evaluation of LLMs for Solving Offensive Security Challenges.” ArXiv</w:t>
        </w:r>
      </w:hyperlink>
    </w:p>
    <w:p>
      <w:pPr>
        <w:spacing w:after="200" w:line="400" w:lineRule="atLeast"/>
      </w:pPr>
      <w:hyperlink r:id="rId31">
        <w:r>
          <w:rPr>
            <w:rStyle w:val="DefaultParagraphFont"/>
            <w:color w:val="0563C1"/>
          </w:rPr>
          <w:t xml:space="preserve">28. Bibek Poudel, Adam Cook et al. “DocuMint: Docstring Generation for Python using Small Language Models.” ArXiv</w:t>
        </w:r>
      </w:hyperlink>
    </w:p>
    <w:p>
      <w:pPr>
        <w:spacing w:after="200" w:line="400" w:lineRule="atLeast"/>
      </w:pPr>
      <w:hyperlink r:id="rId32">
        <w:r>
          <w:rPr>
            <w:rStyle w:val="DefaultParagraphFont"/>
            <w:color w:val="0563C1"/>
          </w:rPr>
          <w:t xml:space="preserve">29. Hao Li, Gengrui Zhang et al. “Large Language Models are Near-Optimal Decision-Makers with a Non-Human Learning Behavior.”</w:t>
        </w:r>
      </w:hyperlink>
    </w:p>
    <w:p>
      <w:pPr>
        <w:spacing w:after="200" w:line="400" w:lineRule="atLeast"/>
      </w:pPr>
      <w:hyperlink r:id="rId33">
        <w:r>
          <w:rPr>
            <w:rStyle w:val="DefaultParagraphFont"/>
            <w:color w:val="0563C1"/>
          </w:rPr>
          <w:t xml:space="preserve">30. Benjamin Arnav, Pablo Bernabeu-Pérez et al. “CoT Red-Handed: Stress Testing Chain-of-Thought Monitoring.”</w:t>
        </w:r>
      </w:hyperlink>
    </w:p>
    <w:sectPr>
      <w:headerReference w:type="default" r:id="rId34"/>
      <w:footerReference w:type="default" r:id="rId35"/>
      <w:pgSz w:w="11906" w:h="16838"/>
      <w:pgMar w:top="1440" w:right="1800" w:bottom="1440" w:left="1800" w:header="851" w:footer="992"/>
      <w:cols w:space="425"/>
      <w:docGrid w:type="lines" w:linePitch="312"/>
    </w:sectPr>
  </w:body>
</w:document>
</file>

<file path=word/footer.xml><?xml version="1.0" encoding="utf-8"?>
<w:ft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2618" name="image" descr="image"/>
          <wp:cNvGraphicFramePr>
            <a:graphicFrameLocks noChangeAspect="true"/>
          </wp:cNvGraphicFramePr>
          <a:graphic>
            <a:graphicData uri="http://schemas.openxmlformats.org/drawingml/2006/picture">
              <pic:pic>
                <pic:nvPicPr>
                  <pic:cNvPr id="5236"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arxiv.org/abs/1801.03406" Type="http://schemas.openxmlformats.org/officeDocument/2006/relationships/hyperlink" Id="rId4"/>
    <Relationship TargetMode="External" Target="https://doi.org/10.48550/arXiv.2405.04434" Type="http://schemas.openxmlformats.org/officeDocument/2006/relationships/hyperlink" Id="rId5"/>
    <Relationship TargetMode="External" Target="https://doi.org/10.1145/3544548.3580852" Type="http://schemas.openxmlformats.org/officeDocument/2006/relationships/hyperlink" Id="rId6"/>
    <Relationship TargetMode="External" Target="https://doi.org/10.48550/arXiv.2403.05525" Type="http://schemas.openxmlformats.org/officeDocument/2006/relationships/hyperlink" Id="rId7"/>
    <Relationship TargetMode="External" Target="https://doi.org/10.48550/arXiv.2302.13971" Type="http://schemas.openxmlformats.org/officeDocument/2006/relationships/hyperlink" Id="rId8"/>
    <Relationship TargetMode="External" Target="https://doi.org/10.48550/arXiv.2401.02954" Type="http://schemas.openxmlformats.org/officeDocument/2006/relationships/hyperlink" Id="rId9"/>
    <Relationship TargetMode="External" Target="https://arxiv.org/abs/2506.18543" Type="http://schemas.openxmlformats.org/officeDocument/2006/relationships/hyperlink" Id="rId10"/>
    <Relationship TargetMode="External" Target="https://arxiv.org/abs/2503.11486" Type="http://schemas.openxmlformats.org/officeDocument/2006/relationships/hyperlink" Id="rId11"/>
    <Relationship TargetMode="External" Target="https://arxiv.org/abs/2506.06009" Type="http://schemas.openxmlformats.org/officeDocument/2006/relationships/hyperlink" Id="rId12"/>
    <Relationship TargetMode="External" Target="https://arxiv.org/abs/2506.14794" Type="http://schemas.openxmlformats.org/officeDocument/2006/relationships/hyperlink" Id="rId13"/>
    <Relationship TargetMode="External" Target="https://arxiv.org/abs/2505.08253" Type="http://schemas.openxmlformats.org/officeDocument/2006/relationships/hyperlink" Id="rId14"/>
    <Relationship TargetMode="External" Target="https://arxiv.org/abs/2412.19437" Type="http://schemas.openxmlformats.org/officeDocument/2006/relationships/hyperlink" Id="rId15"/>
    <Relationship TargetMode="External" Target="https://doi.org/10.32604/cmc.2025.065566" Type="http://schemas.openxmlformats.org/officeDocument/2006/relationships/hyperlink" Id="rId16"/>
    <Relationship TargetMode="External" Target="https://arxiv.org/abs/2506.01257" Type="http://schemas.openxmlformats.org/officeDocument/2006/relationships/hyperlink" Id="rId17"/>
    <Relationship TargetMode="External" Target="https://doi.org/10.48550/arXiv.2405.12750" Type="http://schemas.openxmlformats.org/officeDocument/2006/relationships/hyperlink" Id="rId18"/>
    <Relationship TargetMode="External" Target="https://arxiv.org/abs/2503.10573" Type="http://schemas.openxmlformats.org/officeDocument/2006/relationships/hyperlink" Id="rId19"/>
    <Relationship TargetMode="External" Target="https://arxiv.org/abs/2009.03300" Type="http://schemas.openxmlformats.org/officeDocument/2006/relationships/hyperlink" Id="rId20"/>
    <Relationship TargetMode="External" Target="https://arxiv.org/abs/2108.07732" Type="http://schemas.openxmlformats.org/officeDocument/2006/relationships/hyperlink" Id="rId21"/>
    <Relationship TargetMode="External" Target="https://doi.org/10.18653/v1/P19-1472" Type="http://schemas.openxmlformats.org/officeDocument/2006/relationships/hyperlink" Id="rId22"/>
    <Relationship TargetMode="External" Target="https://arxiv.org/abs/1803.05457" Type="http://schemas.openxmlformats.org/officeDocument/2006/relationships/hyperlink" Id="rId23"/>
    <Relationship TargetMode="External" Target="https://arxiv.org/abs/2505.19147" Type="http://schemas.openxmlformats.org/officeDocument/2006/relationships/hyperlink" Id="rId24"/>
    <Relationship TargetMode="External" Target="https://arxiv.org/abs/2505.15400" Type="http://schemas.openxmlformats.org/officeDocument/2006/relationships/hyperlink" Id="rId25"/>
    <Relationship TargetMode="External" Target="https://doi.org/10.48550/arXiv.2302.13608" Type="http://schemas.openxmlformats.org/officeDocument/2006/relationships/hyperlink" Id="rId26"/>
    <Relationship TargetMode="External" Target="https://doi.org/10.1093/bioinformatics/btab545" Type="http://schemas.openxmlformats.org/officeDocument/2006/relationships/hyperlink" Id="rId27"/>
    <Relationship TargetMode="External" Target="https://s.wanfangdata.com.cn/paper?q=%E8%9E%8D%E5%90%88%E4%B8%8A%E4%B8%8B%E6%96%87%E4%BF%A1%E6%81%AF%E7%9A%84%E4%B8%AA%E6%80%A7%E5%8C%96%E5%BA%8F%E5%88%97%E6%8E%A8%E8%8D%90%E6%B7%B1%E5%BA%A6%E5%AD%A6%E4%B9%A0%E6%A8%A1%E5%9E%8B" Type="http://schemas.openxmlformats.org/officeDocument/2006/relationships/hyperlink" Id="rId28"/>
    <Relationship TargetMode="External" Target="https://arxiv.org/abs/2506.17001" Type="http://schemas.openxmlformats.org/officeDocument/2006/relationships/hyperlink" Id="rId29"/>
    <Relationship TargetMode="External" Target="https://doi.org/10.48550/arXiv.2402.11814" Type="http://schemas.openxmlformats.org/officeDocument/2006/relationships/hyperlink" Id="rId30"/>
    <Relationship TargetMode="External" Target="https://doi.org/10.48550/arXiv.2405.10243" Type="http://schemas.openxmlformats.org/officeDocument/2006/relationships/hyperlink" Id="rId31"/>
    <Relationship TargetMode="External" Target="https://arxiv.org/abs/2506.16163" Type="http://schemas.openxmlformats.org/officeDocument/2006/relationships/hyperlink" Id="rId32"/>
    <Relationship TargetMode="External" Target="https://arxiv.org/abs/2505.23575" Type="http://schemas.openxmlformats.org/officeDocument/2006/relationships/hyperlink" Id="rId33"/>
    <Relationship Target="header.xml" Type="http://schemas.openxmlformats.org/officeDocument/2006/relationships/header" Id="rId34"/>
    <Relationship Target="footer.xml" Type="http://schemas.openxmlformats.org/officeDocument/2006/relationships/footer" Id="rId35"/>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