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00" w:after="200"/>
        <w:rPr>
          <w:b/>
          <w:bCs/>
          <w:color w:val="000000"/>
        </w:rPr>
      </w:pPr>
      <w:r>
        <w:rPr>
          <w:rFonts w:eastAsia="Georgia" w:cs="Georgia" w:ascii="Georgia" w:hAnsi="Georgia"/>
          <w:b/>
          <w:bCs/>
          <w:color w:val="000000"/>
          <w:sz w:val="36"/>
          <w:szCs w:val="36"/>
        </w:rPr>
        <w:t>SOC Infrastructure &amp; Operational Technologies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Author: Vineeth M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Date: 03-04-2026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/>
      </w:r>
    </w:p>
    <w:p>
      <w:pPr>
        <w:pStyle w:val="Heading2"/>
        <w:spacing w:before="240" w:after="160"/>
        <w:rPr>
          <w:sz w:val="28"/>
          <w:szCs w:val="28"/>
        </w:rPr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1. Executive Summary of SOC Tools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Essential SOC technologies like EDR, log aggregators, and SIEM platforms form the backbone of threat detection and response. Wazuh, rsyslog, and OSSEC exemplify these, providing scalable monitoring capabilities.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>
          <w:sz w:val="28"/>
          <w:szCs w:val="28"/>
        </w:rPr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Wazuh (EDR/SIEM)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Wazuh features a centralized server architecture where agents on endpoints forward security data for decoding, analysis, and indexing via a Wazuh indexer cluster, supporting agentless devices through Syslog or API. In a practical use-case, it monitors file integrity changes by alerting on unauthorized modifications to critical system files, enabling rapid incident triage.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rsyslog (Log Aggregator)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rsyslog operates as a high-performance log processor on Linux, using modules like imfile for input and omfwd for forwarding logs over TCP/UDP with queuing for reliability. It excels in scenarios like aggregating auth logs to detect unauthorized SSH attempts, forwarding failed password entries to a central SIEM for correlation.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OSSEC (HIDS/EDR)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OSSEC employs a central manager that receives data from lightweight agents running in chroot jails, storing logs, FIM databases, and rules centrally for analysis.A key use-case involves monitoring file integrity changes, where agents report checksum mismatches on monitored paths like /etc/passwd, triggering alerts for potential tampering.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32"/>
          <w:szCs w:val="32"/>
        </w:rPr>
        <w:t>2. SIEM Integration &amp; Detection Engineering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Integrating logs and crafting detection rules enhances SIEM efficacy, aligning with NIST phases like Preparation (tool setup) and Detection &amp; Analysis (rule tuning).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Log Integration Workflow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Configure rsyslog on Linux clients by editing /etc/rsyslog.conf or /etc/rsyslog.d/siem-forward.conf to load modules and define forwarding actions.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4"/>
        </w:numPr>
        <w:spacing w:before="80" w:after="80"/>
        <w:rPr/>
      </w:pPr>
      <w:r>
        <w:rPr>
          <w:rFonts w:eastAsia="Georgia" w:cs="Georgia"/>
          <w:sz w:val="24"/>
          <w:szCs w:val="24"/>
        </w:rPr>
        <w:t xml:space="preserve">Backup original config: </w:t>
      </w:r>
      <w:r>
        <w:rPr>
          <w:rFonts w:eastAsia="Consolas" w:cs="Consolas" w:ascii="Consolas" w:hAnsi="Consolas"/>
          <w:sz w:val="24"/>
          <w:szCs w:val="24"/>
          <w:shd w:fill="F5F5F5" w:val="clear"/>
        </w:rPr>
        <w:t>cp /etc/rsyslog.conf /etc/rsyslog.conf.bak</w:t>
      </w:r>
      <w:r>
        <w:rPr>
          <w:rFonts w:eastAsia="Georgia" w:cs="Georgia"/>
          <w:sz w:val="24"/>
          <w:szCs w:val="24"/>
        </w:rPr>
        <w:t>.</w:t>
      </w:r>
    </w:p>
    <w:p>
      <w:pPr>
        <w:pStyle w:val="ListParagraph"/>
        <w:numPr>
          <w:ilvl w:val="0"/>
          <w:numId w:val="5"/>
        </w:numPr>
        <w:spacing w:before="80" w:after="80"/>
        <w:rPr/>
      </w:pPr>
      <w:r>
        <w:rPr>
          <w:rFonts w:eastAsia="Georgia" w:cs="Georgia"/>
          <w:sz w:val="24"/>
          <w:szCs w:val="24"/>
        </w:rPr>
        <w:t>Add forwarding rules, e.g., for auth logs:</w:t>
      </w:r>
    </w:p>
    <w:p>
      <w:pPr>
        <w:pStyle w:val="ListParagraph"/>
        <w:numPr>
          <w:ilvl w:val="0"/>
          <w:numId w:val="0"/>
        </w:numPr>
        <w:spacing w:before="80" w:after="80"/>
        <w:ind w:hanging="0" w:start="720"/>
        <w:rPr/>
      </w:pPr>
      <w:r>
        <w:rPr/>
        <w:t xml:space="preserve"> </w:t>
      </w:r>
      <w:r>
        <w:rPr/>
        <w:t>auth,authpriv.* action(</w:t>
        <w:br/>
        <w:t>type="omfwd"</w:t>
        <w:br/>
        <w:t>target="siem.example.com"</w:t>
        <w:br/>
        <w:t>port="514"</w:t>
        <w:br/>
        <w:t>protocol="tcp"</w:t>
        <w:br/>
        <w:t>queue.type="LinkedList"</w:t>
        <w:br/>
        <w:t>queue.filename="siem_auth_queue"</w:t>
        <w:br/>
        <w:t>)</w:t>
      </w:r>
    </w:p>
    <w:p>
      <w:pPr>
        <w:pStyle w:val="ListParagraph"/>
        <w:spacing w:before="80" w:after="80"/>
        <w:rPr/>
      </w:pPr>
      <w:r>
        <w:rPr>
          <w:rFonts w:eastAsia="Georgia" w:cs="Georgia"/>
          <w:sz w:val="24"/>
          <w:szCs w:val="24"/>
        </w:rPr>
        <w:t xml:space="preserve">       </w:t>
      </w:r>
      <w:r>
        <w:rPr>
          <w:rFonts w:eastAsia="Georgia" w:cs="Georgia"/>
          <w:sz w:val="24"/>
          <w:szCs w:val="24"/>
        </w:rPr>
        <w:t xml:space="preserve">3.Restart rsyslog: </w:t>
      </w:r>
      <w:r>
        <w:rPr>
          <w:rFonts w:eastAsia="Consolas" w:cs="Consolas" w:ascii="Consolas" w:hAnsi="Consolas"/>
          <w:sz w:val="24"/>
          <w:szCs w:val="24"/>
          <w:shd w:fill="F5F5F5" w:val="clear"/>
        </w:rPr>
        <w:t>systemctl restart rsyslog</w:t>
      </w:r>
      <w:r>
        <w:rPr>
          <w:rFonts w:eastAsia="Georgia" w:cs="Georgia"/>
          <w:sz w:val="24"/>
          <w:szCs w:val="24"/>
        </w:rPr>
        <w:t>.</w:t>
      </w:r>
    </w:p>
    <w:p>
      <w:pPr>
        <w:pStyle w:val="ListParagraph"/>
        <w:spacing w:before="80" w:after="80"/>
        <w:rPr/>
      </w:pPr>
      <w:r>
        <w:rPr>
          <w:rFonts w:eastAsia="Georgia" w:cs="Georgia"/>
          <w:sz w:val="24"/>
          <w:szCs w:val="24"/>
        </w:rPr>
        <w:t xml:space="preserve">      </w:t>
      </w:r>
      <w:r>
        <w:rPr>
          <w:rFonts w:eastAsia="Georgia" w:cs="Georgia"/>
          <w:sz w:val="24"/>
          <w:szCs w:val="24"/>
        </w:rPr>
        <w:t>4.Verify on SIEM for incoming telemetry.</w:t>
      </w:r>
    </w:p>
    <w:p>
      <w:pPr>
        <w:pStyle w:val="ListParagraph"/>
        <w:spacing w:before="80" w:after="80"/>
        <w:rPr>
          <w:rFonts w:ascii="Georgia" w:hAnsi="Georgia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This maps to NIST Preparation by establishing log pipelines for Detection &amp; Analysis.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Rule Creation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Detection rules use logic like pattern matching and exclusions to flag anomalies. Sigma rules are cross-platform YAML for logs; YARA scans binaries/memory.</w:t>
      </w:r>
    </w:p>
    <w:p>
      <w:pPr>
        <w:pStyle w:val="Normal"/>
        <w:spacing w:before="0" w:after="140"/>
        <w:rPr>
          <w:rFonts w:ascii="Georgia" w:hAnsi="Georgia" w:eastAsia="Georgia" w:cs="Georgia"/>
          <w:sz w:val="24"/>
          <w:szCs w:val="24"/>
        </w:rPr>
      </w:pPr>
      <w:r>
        <w:rPr>
          <w:rFonts w:eastAsia="Georgia" w:cs="Georgia"/>
          <w:sz w:val="24"/>
          <w:szCs w:val="24"/>
        </w:rPr>
      </w:r>
    </w:p>
    <w:p>
      <w:pPr>
        <w:pStyle w:val="Normal"/>
        <w:spacing w:before="0" w:after="140"/>
        <w:rPr/>
      </w:pPr>
      <w:r>
        <w:rPr>
          <w:rFonts w:eastAsia="Georgia" w:cs="Georgia"/>
          <w:b/>
          <w:bCs/>
          <w:sz w:val="24"/>
          <w:szCs w:val="24"/>
        </w:rPr>
        <w:t>Sigma Rule Example (Unauthorized SSH):</w:t>
      </w:r>
    </w:p>
    <w:p>
      <w:pPr>
        <w:pStyle w:val="Normal"/>
        <w:pBdr>
          <w:top w:val="single" w:sz="2" w:space="0" w:color="E1E1E1"/>
          <w:left w:val="single" w:sz="2" w:space="0" w:color="E1E1E1"/>
          <w:right w:val="single" w:sz="2" w:space="0" w:color="E1E1E1"/>
        </w:pBdr>
        <w:spacing w:before="20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>title: Suspicious SSH Activity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>id: a1b2c3d4-e5f6-7890-abcd-ef1234567890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>logsource: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>product: linux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>service: auth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>detection: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>selection: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 xml:space="preserve"> </w:t>
      </w:r>
      <w:r>
        <w:rPr>
          <w:rFonts w:eastAsia="Consolas" w:cs="Consolas" w:ascii="Consolas" w:hAnsi="Consolas"/>
          <w:sz w:val="22"/>
          <w:szCs w:val="22"/>
          <w:shd w:fill="F5F5F5" w:val="clear"/>
        </w:rPr>
        <w:t>Message|contains: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 xml:space="preserve">   </w:t>
      </w:r>
      <w:r>
        <w:rPr>
          <w:rFonts w:eastAsia="Consolas" w:cs="Consolas" w:ascii="Consolas" w:hAnsi="Consolas"/>
          <w:sz w:val="22"/>
          <w:szCs w:val="22"/>
          <w:shd w:fill="F5F5F5" w:val="clear"/>
        </w:rPr>
        <w:t>- 'Failed password'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 xml:space="preserve">   </w:t>
      </w:r>
      <w:r>
        <w:rPr>
          <w:rFonts w:eastAsia="Consolas" w:cs="Consolas" w:ascii="Consolas" w:hAnsi="Consolas"/>
          <w:sz w:val="22"/>
          <w:szCs w:val="22"/>
          <w:shd w:fill="F5F5F5" w:val="clear"/>
        </w:rPr>
        <w:t>- 'Invalid user'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>condition: selection</w:t>
      </w:r>
    </w:p>
    <w:p>
      <w:pPr>
        <w:pStyle w:val="Normal"/>
        <w:pBdr>
          <w:left w:val="single" w:sz="2" w:space="0" w:color="E1E1E1"/>
          <w:bottom w:val="single" w:sz="2" w:space="0" w:color="E1E1E1"/>
          <w:right w:val="single" w:sz="2" w:space="0" w:color="E1E1E1"/>
        </w:pBdr>
        <w:spacing w:before="0" w:after="20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>level: medium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This detects brute-force SSH across SIEMs, supporting NIST Detection.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b/>
          <w:bCs/>
          <w:sz w:val="24"/>
          <w:szCs w:val="24"/>
        </w:rPr>
        <w:t>YARA Rule Example (Memory Threat Hunting):</w:t>
      </w:r>
    </w:p>
    <w:p>
      <w:pPr>
        <w:pStyle w:val="Normal"/>
        <w:pBdr>
          <w:top w:val="single" w:sz="2" w:space="0" w:color="E1E1E1"/>
          <w:left w:val="single" w:sz="2" w:space="0" w:color="E1E1E1"/>
          <w:right w:val="single" w:sz="2" w:space="0" w:color="E1E1E1"/>
        </w:pBdr>
        <w:spacing w:before="20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>rule MemoryMalwareExample {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>meta: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 xml:space="preserve"> </w:t>
      </w:r>
      <w:r>
        <w:rPr>
          <w:rFonts w:eastAsia="Consolas" w:cs="Consolas" w:ascii="Consolas" w:hAnsi="Consolas"/>
          <w:sz w:val="22"/>
          <w:szCs w:val="22"/>
          <w:shd w:fill="F5F5F5" w:val="clear"/>
        </w:rPr>
        <w:t>description = "Detects common malware patterns in memory"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>strings: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 xml:space="preserve"> </w:t>
      </w:r>
      <w:r>
        <w:rPr>
          <w:rFonts w:eastAsia="Consolas" w:cs="Consolas" w:ascii="Consolas" w:hAnsi="Consolas"/>
          <w:sz w:val="22"/>
          <w:szCs w:val="22"/>
          <w:shd w:fill="F5F5F5" w:val="clear"/>
        </w:rPr>
        <w:t>$api1 = "VirtualAlloc" ascii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 xml:space="preserve"> </w:t>
      </w:r>
      <w:r>
        <w:rPr>
          <w:rFonts w:eastAsia="Consolas" w:cs="Consolas" w:ascii="Consolas" w:hAnsi="Consolas"/>
          <w:sz w:val="22"/>
          <w:szCs w:val="22"/>
          <w:shd w:fill="F5F5F5" w:val="clear"/>
        </w:rPr>
        <w:t>$api2 = "WriteProcessMemory" ascii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>condition:</w:t>
      </w:r>
    </w:p>
    <w:p>
      <w:pPr>
        <w:pStyle w:val="Normal"/>
        <w:pBdr>
          <w:left w:val="single" w:sz="2" w:space="0" w:color="E1E1E1"/>
          <w:right w:val="single" w:sz="2" w:space="0" w:color="E1E1E1"/>
        </w:pBdr>
        <w:spacing w:before="0" w:after="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 xml:space="preserve"> </w:t>
      </w:r>
      <w:r>
        <w:rPr>
          <w:rFonts w:eastAsia="Consolas" w:cs="Consolas" w:ascii="Consolas" w:hAnsi="Consolas"/>
          <w:sz w:val="22"/>
          <w:szCs w:val="22"/>
          <w:shd w:fill="F5F5F5" w:val="clear"/>
        </w:rPr>
        <w:t>all of them</w:t>
      </w:r>
    </w:p>
    <w:p>
      <w:pPr>
        <w:pStyle w:val="Normal"/>
        <w:pBdr>
          <w:left w:val="single" w:sz="2" w:space="0" w:color="E1E1E1"/>
          <w:bottom w:val="single" w:sz="2" w:space="0" w:color="E1E1E1"/>
          <w:right w:val="single" w:sz="2" w:space="0" w:color="E1E1E1"/>
        </w:pBdr>
        <w:spacing w:before="0" w:after="200"/>
        <w:ind w:start="360"/>
        <w:rPr/>
      </w:pPr>
      <w:r>
        <w:rPr>
          <w:rFonts w:eastAsia="Consolas" w:cs="Consolas" w:ascii="Consolas" w:hAnsi="Consolas"/>
          <w:sz w:val="22"/>
          <w:szCs w:val="22"/>
          <w:shd w:fill="F5F5F5" w:val="clear"/>
        </w:rPr>
        <w:t>}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YARA scans memory dumps for injected code during hunting, aiding NIST Analysis.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32"/>
          <w:szCs w:val="32"/>
        </w:rPr>
        <w:t>3. SIEM Comparative Analysis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Industry-leading SIEMs vary in scalability and costs; below tables compare Splunk, Wazuh, and Microsoft Sentinel.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Splunk</w:t>
      </w:r>
    </w:p>
    <w:p>
      <w:pPr>
        <w:pStyle w:val="Normal"/>
        <w:spacing w:before="200" w:after="200"/>
        <w:rPr/>
      </w:pPr>
      <w:r>
        <w:rPr/>
      </w:r>
    </w:p>
    <w:tbl>
      <w:tblPr>
        <w:tblW w:w="5000" w:type="pct"/>
        <w:jc w:val="center"/>
        <w:tblInd w:w="0" w:type="dxa"/>
        <w:tblLayout w:type="fixed"/>
        <w:tblCellMar>
          <w:top w:w="115" w:type="dxa"/>
          <w:start w:w="172" w:type="dxa"/>
          <w:bottom w:w="115" w:type="dxa"/>
          <w:end w:w="172" w:type="dxa"/>
        </w:tblCellMar>
      </w:tblPr>
      <w:tblGrid>
        <w:gridCol w:w="1796"/>
        <w:gridCol w:w="3391"/>
        <w:gridCol w:w="3839"/>
      </w:tblGrid>
      <w:tr>
        <w:trPr>
          <w:tblHeader w:val="true"/>
          <w:cantSplit w:val="true"/>
        </w:trPr>
        <w:tc>
          <w:tcPr>
            <w:tcW w:w="1796" w:type="dxa"/>
            <w:tcBorders>
              <w:top w:val="doub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Aspect</w:t>
            </w:r>
          </w:p>
        </w:tc>
        <w:tc>
          <w:tcPr>
            <w:tcW w:w="3391" w:type="dxa"/>
            <w:tcBorders>
              <w:top w:val="doub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Pros</w:t>
            </w:r>
          </w:p>
        </w:tc>
        <w:tc>
          <w:tcPr>
            <w:tcW w:w="3839" w:type="dxa"/>
            <w:tcBorders>
              <w:top w:val="doub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Cons</w:t>
            </w:r>
          </w:p>
        </w:tc>
      </w:tr>
      <w:tr>
        <w:trPr>
          <w:cantSplit w:val="true"/>
        </w:trPr>
        <w:tc>
          <w:tcPr>
            <w:tcW w:w="1796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>Scalability</w:t>
            </w:r>
          </w:p>
        </w:tc>
        <w:tc>
          <w:tcPr>
            <w:tcW w:w="3391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High-volume data handling with ML-based analytics </w:t>
            </w:r>
          </w:p>
        </w:tc>
        <w:tc>
          <w:tcPr>
            <w:tcW w:w="3839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High licensing costs scaling with ingestion </w:t>
            </w:r>
          </w:p>
        </w:tc>
      </w:tr>
      <w:tr>
        <w:trPr>
          <w:cantSplit w:val="true"/>
        </w:trPr>
        <w:tc>
          <w:tcPr>
            <w:tcW w:w="1796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>Integration</w:t>
            </w:r>
          </w:p>
        </w:tc>
        <w:tc>
          <w:tcPr>
            <w:tcW w:w="3391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Risk-based alerting, threat topology </w:t>
            </w:r>
          </w:p>
        </w:tc>
        <w:tc>
          <w:tcPr>
            <w:tcW w:w="3839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Steep learning curve for custom configs </w:t>
            </w:r>
          </w:p>
        </w:tc>
      </w:tr>
      <w:tr>
        <w:trPr>
          <w:cantSplit w:val="true"/>
        </w:trPr>
        <w:tc>
          <w:tcPr>
            <w:tcW w:w="1796" w:type="dxa"/>
            <w:tcBorders>
              <w:top w:val="sing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>Support</w:t>
            </w:r>
          </w:p>
        </w:tc>
        <w:tc>
          <w:tcPr>
            <w:tcW w:w="3391" w:type="dxa"/>
            <w:tcBorders>
              <w:top w:val="sing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>Mature ecosystem</w:t>
            </w:r>
          </w:p>
        </w:tc>
        <w:tc>
          <w:tcPr>
            <w:tcW w:w="3839" w:type="dxa"/>
            <w:tcBorders>
              <w:top w:val="sing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Resource-intensive hardware 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Wazuh</w:t>
      </w:r>
    </w:p>
    <w:p>
      <w:pPr>
        <w:pStyle w:val="Normal"/>
        <w:spacing w:before="200" w:after="200"/>
        <w:rPr/>
      </w:pPr>
      <w:r>
        <w:rPr/>
      </w:r>
    </w:p>
    <w:tbl>
      <w:tblPr>
        <w:tblW w:w="5000" w:type="pct"/>
        <w:jc w:val="center"/>
        <w:tblInd w:w="0" w:type="dxa"/>
        <w:tblLayout w:type="fixed"/>
        <w:tblCellMar>
          <w:top w:w="115" w:type="dxa"/>
          <w:start w:w="172" w:type="dxa"/>
          <w:bottom w:w="115" w:type="dxa"/>
          <w:end w:w="172" w:type="dxa"/>
        </w:tblCellMar>
      </w:tblPr>
      <w:tblGrid>
        <w:gridCol w:w="1519"/>
        <w:gridCol w:w="3494"/>
        <w:gridCol w:w="4013"/>
      </w:tblGrid>
      <w:tr>
        <w:trPr>
          <w:tblHeader w:val="true"/>
          <w:cantSplit w:val="true"/>
        </w:trPr>
        <w:tc>
          <w:tcPr>
            <w:tcW w:w="1519" w:type="dxa"/>
            <w:tcBorders>
              <w:top w:val="doub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Aspect</w:t>
            </w:r>
          </w:p>
        </w:tc>
        <w:tc>
          <w:tcPr>
            <w:tcW w:w="3494" w:type="dxa"/>
            <w:tcBorders>
              <w:top w:val="doub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Pros</w:t>
            </w:r>
          </w:p>
        </w:tc>
        <w:tc>
          <w:tcPr>
            <w:tcW w:w="4013" w:type="dxa"/>
            <w:tcBorders>
              <w:top w:val="doub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Cons</w:t>
            </w:r>
          </w:p>
        </w:tc>
      </w:tr>
      <w:tr>
        <w:trPr>
          <w:cantSplit w:val="true"/>
        </w:trPr>
        <w:tc>
          <w:tcPr>
            <w:tcW w:w="1519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>Scalability</w:t>
            </w:r>
          </w:p>
        </w:tc>
        <w:tc>
          <w:tcPr>
            <w:tcW w:w="3494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Open-source, clusters for HA </w:t>
            </w:r>
          </w:p>
        </w:tc>
        <w:tc>
          <w:tcPr>
            <w:tcW w:w="4013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Architectural fragility at scale </w:t>
            </w:r>
          </w:p>
        </w:tc>
      </w:tr>
      <w:tr>
        <w:trPr>
          <w:cantSplit w:val="true"/>
        </w:trPr>
        <w:tc>
          <w:tcPr>
            <w:tcW w:w="1519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>Integration</w:t>
            </w:r>
          </w:p>
        </w:tc>
        <w:tc>
          <w:tcPr>
            <w:tcW w:w="3494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Easy agent deployment </w:t>
            </w:r>
          </w:p>
        </w:tc>
        <w:tc>
          <w:tcPr>
            <w:tcW w:w="4013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Requires custom dev work </w:t>
            </w:r>
          </w:p>
        </w:tc>
      </w:tr>
      <w:tr>
        <w:trPr>
          <w:cantSplit w:val="true"/>
        </w:trPr>
        <w:tc>
          <w:tcPr>
            <w:tcW w:w="1519" w:type="dxa"/>
            <w:tcBorders>
              <w:top w:val="sing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>Support</w:t>
            </w:r>
          </w:p>
        </w:tc>
        <w:tc>
          <w:tcPr>
            <w:tcW w:w="3494" w:type="dxa"/>
            <w:tcBorders>
              <w:top w:val="sing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Strong community, no licensing </w:t>
            </w:r>
          </w:p>
        </w:tc>
        <w:tc>
          <w:tcPr>
            <w:tcW w:w="4013" w:type="dxa"/>
            <w:tcBorders>
              <w:top w:val="sing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Steep learning curve 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Microsoft Sentinel</w:t>
      </w:r>
    </w:p>
    <w:p>
      <w:pPr>
        <w:pStyle w:val="Normal"/>
        <w:spacing w:before="200" w:after="200"/>
        <w:rPr/>
      </w:pPr>
      <w:r>
        <w:rPr/>
      </w:r>
    </w:p>
    <w:tbl>
      <w:tblPr>
        <w:tblW w:w="5000" w:type="pct"/>
        <w:jc w:val="center"/>
        <w:tblInd w:w="0" w:type="dxa"/>
        <w:tblLayout w:type="fixed"/>
        <w:tblCellMar>
          <w:top w:w="115" w:type="dxa"/>
          <w:start w:w="172" w:type="dxa"/>
          <w:bottom w:w="115" w:type="dxa"/>
          <w:end w:w="172" w:type="dxa"/>
        </w:tblCellMar>
      </w:tblPr>
      <w:tblGrid>
        <w:gridCol w:w="1706"/>
        <w:gridCol w:w="3875"/>
        <w:gridCol w:w="3445"/>
      </w:tblGrid>
      <w:tr>
        <w:trPr>
          <w:tblHeader w:val="true"/>
          <w:cantSplit w:val="true"/>
        </w:trPr>
        <w:tc>
          <w:tcPr>
            <w:tcW w:w="1706" w:type="dxa"/>
            <w:tcBorders>
              <w:top w:val="doub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Aspect</w:t>
            </w:r>
          </w:p>
        </w:tc>
        <w:tc>
          <w:tcPr>
            <w:tcW w:w="3875" w:type="dxa"/>
            <w:tcBorders>
              <w:top w:val="doub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Pros</w:t>
            </w:r>
          </w:p>
        </w:tc>
        <w:tc>
          <w:tcPr>
            <w:tcW w:w="3445" w:type="dxa"/>
            <w:tcBorders>
              <w:top w:val="doub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shd w:color="auto" w:fill="E7F3FF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Georgia" w:cs="Georgia"/>
                <w:b/>
                <w:bCs/>
                <w:color w:val="1F4E79"/>
                <w:sz w:val="24"/>
                <w:szCs w:val="24"/>
              </w:rPr>
              <w:t>Cons</w:t>
            </w:r>
          </w:p>
        </w:tc>
      </w:tr>
      <w:tr>
        <w:trPr>
          <w:cantSplit w:val="true"/>
        </w:trPr>
        <w:tc>
          <w:tcPr>
            <w:tcW w:w="1706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>Scalability</w:t>
            </w:r>
          </w:p>
        </w:tc>
        <w:tc>
          <w:tcPr>
            <w:tcW w:w="3875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Cloud-native, Azure integrations </w:t>
            </w:r>
          </w:p>
        </w:tc>
        <w:tc>
          <w:tcPr>
            <w:tcW w:w="3445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Costs tied to data ingestion </w:t>
            </w:r>
          </w:p>
        </w:tc>
      </w:tr>
      <w:tr>
        <w:trPr>
          <w:cantSplit w:val="true"/>
        </w:trPr>
        <w:tc>
          <w:tcPr>
            <w:tcW w:w="1706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>Integration</w:t>
            </w:r>
          </w:p>
        </w:tc>
        <w:tc>
          <w:tcPr>
            <w:tcW w:w="3875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Seamless with M365, ML anomaly detection </w:t>
            </w:r>
          </w:p>
        </w:tc>
        <w:tc>
          <w:tcPr>
            <w:tcW w:w="3445" w:type="dxa"/>
            <w:tcBorders>
              <w:top w:val="single" w:sz="2" w:space="0" w:color="1F4E79"/>
              <w:start w:val="single" w:sz="2" w:space="0" w:color="8DB4E2"/>
              <w:bottom w:val="sing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Azure ecosystem dependency </w:t>
            </w:r>
          </w:p>
        </w:tc>
      </w:tr>
      <w:tr>
        <w:trPr>
          <w:cantSplit w:val="true"/>
        </w:trPr>
        <w:tc>
          <w:tcPr>
            <w:tcW w:w="1706" w:type="dxa"/>
            <w:tcBorders>
              <w:top w:val="sing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>Support</w:t>
            </w:r>
          </w:p>
        </w:tc>
        <w:tc>
          <w:tcPr>
            <w:tcW w:w="3875" w:type="dxa"/>
            <w:tcBorders>
              <w:top w:val="sing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 xml:space="preserve">Centralized monitoring </w:t>
            </w:r>
          </w:p>
        </w:tc>
        <w:tc>
          <w:tcPr>
            <w:tcW w:w="3445" w:type="dxa"/>
            <w:tcBorders>
              <w:top w:val="single" w:sz="2" w:space="0" w:color="1F4E79"/>
              <w:start w:val="single" w:sz="2" w:space="0" w:color="8DB4E2"/>
              <w:bottom w:val="double" w:sz="2" w:space="0" w:color="1F4E79"/>
              <w:end w:val="single" w:sz="2" w:space="0" w:color="8DB4E2"/>
            </w:tcBorders>
            <w:vAlign w:val="center"/>
          </w:tcPr>
          <w:p>
            <w:pPr>
              <w:pStyle w:val="Normal"/>
              <w:spacing w:before="0" w:after="200"/>
              <w:jc w:val="start"/>
              <w:rPr>
                <w:sz w:val="20"/>
                <w:szCs w:val="20"/>
              </w:rPr>
            </w:pPr>
            <w:r>
              <w:rPr>
                <w:rFonts w:eastAsia="Georgia" w:cs="Georgia"/>
                <w:sz w:val="20"/>
                <w:szCs w:val="20"/>
              </w:rPr>
              <w:t>Implementation challenges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32"/>
          <w:szCs w:val="32"/>
        </w:rPr>
        <w:t>4. Supplemental SOC Ecosystem Tools</w:t>
      </w:r>
    </w:p>
    <w:p>
      <w:pPr>
        <w:pStyle w:val="Normal"/>
        <w:rPr/>
      </w:pPr>
      <w:r>
        <w:rPr/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These tools layer 'Defense in Depth' by automating, enriching, and managing threats beyond core SIEM/EDR.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SOAR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Shuffle and Tines automate workflows like IP enrichment from SIEM alerts via API integrations (e.g., VirusTotal lookup then firewall block). They reduce MTTR in response layers.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Threat Intelligence Platforms (TIP)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MISP ingests/shares IoCs like hashes/IPs across CERTs, enabling automated Snort exports and detection enrichment. Fits intelligence gathering in depth model.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NDR/IDS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Suricata performs deep packet inspection with rules for anomalies; Zeek extracts telemetry like connections for behavioral analysis.Provides network visibility tier.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Vulnerability Management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OpenVAS (GVM) scans for CVEs proactively; Nessus offers policy compliance checks.Prevents exploits in proactive defense.</w:t>
      </w:r>
    </w:p>
    <w:p>
      <w:pPr>
        <w:pStyle w:val="Normal"/>
        <w:rPr/>
      </w:pPr>
      <w:r>
        <w:rPr/>
      </w:r>
    </w:p>
    <w:p>
      <w:pPr>
        <w:pStyle w:val="Heading3"/>
        <w:spacing w:before="240" w:after="160"/>
        <w:rPr/>
      </w:pPr>
      <w:r>
        <w:rPr>
          <w:rFonts w:eastAsia="Georgia" w:cs="Georgia" w:ascii="Georgia" w:hAnsi="Georgia"/>
          <w:b/>
          <w:bCs/>
          <w:color w:val="2F5597"/>
          <w:sz w:val="28"/>
          <w:szCs w:val="28"/>
        </w:rPr>
        <w:t>Case Management &amp; DFIR</w:t>
      </w:r>
    </w:p>
    <w:p>
      <w:pPr>
        <w:pStyle w:val="Normal"/>
        <w:spacing w:before="0" w:after="140"/>
        <w:rPr/>
      </w:pPr>
      <w:r>
        <w:rPr>
          <w:rFonts w:eastAsia="Georgia" w:cs="Georgia"/>
          <w:sz w:val="24"/>
          <w:szCs w:val="24"/>
        </w:rPr>
        <w:t>TheHive tracks incidents with cases; Cortex analyzes observables for responders.Coordinates NIST phases like Containment/Eradication.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Georgia" w:cs="Georgia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exact" w:line="360" w:before="0" w:after="200"/>
      <w:jc w:val="start"/>
    </w:pPr>
    <w:rPr>
      <w:rFonts w:ascii="Georgia" w:hAnsi="Georgia" w:eastAsia="Georgia" w:cs="Georgia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480" w:after="240"/>
    </w:pPr>
    <w:rPr>
      <w:rFonts w:ascii="Segoe UI" w:hAnsi="Segoe UI" w:eastAsia="Segoe UI" w:cs="Segoe UI"/>
      <w:b/>
      <w:bCs/>
      <w:color w:val="1A365D"/>
      <w:sz w:val="40"/>
      <w:szCs w:val="40"/>
    </w:rPr>
  </w:style>
  <w:style w:type="paragraph" w:styleId="Heading2">
    <w:name w:val="Heading 2"/>
    <w:basedOn w:val="Heading"/>
    <w:qFormat/>
    <w:pPr>
      <w:spacing w:before="360" w:after="200"/>
    </w:pPr>
    <w:rPr>
      <w:rFonts w:ascii="Segoe UI" w:hAnsi="Segoe UI" w:eastAsia="Segoe UI" w:cs="Segoe UI"/>
      <w:b/>
      <w:bCs/>
      <w:color w:val="2C5282"/>
      <w:sz w:val="34"/>
      <w:szCs w:val="34"/>
    </w:rPr>
  </w:style>
  <w:style w:type="paragraph" w:styleId="Heading3">
    <w:name w:val="Heading 3"/>
    <w:basedOn w:val="Heading"/>
    <w:qFormat/>
    <w:pPr>
      <w:spacing w:before="280" w:after="160"/>
    </w:pPr>
    <w:rPr>
      <w:rFonts w:ascii="Segoe UI" w:hAnsi="Segoe UI" w:eastAsia="Segoe UI" w:cs="Segoe UI"/>
      <w:b/>
      <w:bCs/>
      <w:color w:val="2D3748"/>
      <w:sz w:val="30"/>
      <w:szCs w:val="30"/>
    </w:rPr>
  </w:style>
  <w:style w:type="paragraph" w:styleId="Heading4">
    <w:name w:val="Heading 4"/>
    <w:basedOn w:val="Heading"/>
    <w:qFormat/>
    <w:pPr>
      <w:spacing w:before="240" w:after="120"/>
    </w:pPr>
    <w:rPr>
      <w:rFonts w:ascii="Segoe UI" w:hAnsi="Segoe UI" w:eastAsia="Segoe UI" w:cs="Segoe UI"/>
      <w:b/>
      <w:bCs/>
      <w:color w:val="2D3748"/>
      <w:sz w:val="26"/>
      <w:szCs w:val="26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lineRule="exact" w:line="360" w:before="0" w:after="200"/>
      <w:jc w:val="start"/>
    </w:pPr>
    <w:rPr>
      <w:rFonts w:ascii="Georgia" w:hAnsi="Georgia" w:eastAsia="Georgia" w:cs="Georgia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lineRule="exact" w:line="360" w:before="0" w:after="200"/>
      <w:jc w:val="start"/>
    </w:pPr>
    <w:rPr>
      <w:rFonts w:ascii="Georgia" w:hAnsi="Georgia" w:eastAsia="Georgia" w:cs="Georgia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Quote">
    <w:name w:val="Quote"/>
    <w:qFormat/>
    <w:pPr>
      <w:widowControl/>
      <w:suppressAutoHyphens w:val="true"/>
      <w:bidi w:val="0"/>
      <w:spacing w:lineRule="exact" w:line="360" w:before="240" w:after="240"/>
      <w:ind w:start="720"/>
      <w:jc w:val="start"/>
    </w:pPr>
    <w:rPr>
      <w:rFonts w:ascii="Georgia" w:hAnsi="Georgia" w:eastAsia="Georgia" w:cs="Georgia"/>
      <w:i/>
      <w:iCs/>
      <w:color w:val="4A5568"/>
      <w:kern w:val="0"/>
      <w:sz w:val="24"/>
      <w:szCs w:val="24"/>
      <w:lang w:val="en-US" w:eastAsia="zh-CN" w:bidi="hi-IN"/>
    </w:rPr>
  </w:style>
  <w:style w:type="paragraph" w:styleId="Code">
    <w:name w:val="Code"/>
    <w:qFormat/>
    <w:pPr>
      <w:widowControl/>
      <w:suppressAutoHyphens w:val="true"/>
      <w:bidi w:val="0"/>
      <w:spacing w:lineRule="exact" w:line="360" w:before="240" w:after="240"/>
      <w:ind w:start="360"/>
      <w:jc w:val="start"/>
    </w:pPr>
    <w:rPr>
      <w:rFonts w:ascii="Consolas" w:hAnsi="Consolas" w:eastAsia="Consolas" w:cs="Consolas"/>
      <w:color w:val="1A202C"/>
      <w:kern w:val="0"/>
      <w:sz w:val="22"/>
      <w:szCs w:val="22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6</Pages>
  <Words>638</Words>
  <Characters>4303</Characters>
  <CharactersWithSpaces>4879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2026-04-03T04:23:47Z</dcterms:created>
  <dc:creator>Markdown to Word Converter</dc:creator>
  <dc:description>Document created with Markdown to Word Converter</dc:description>
  <dc:language>en-US</dc:language>
  <cp:lastModifiedBy/>
  <dcterms:modified xsi:type="dcterms:W3CDTF">2026-04-03T10:06:45Z</dcterms:modified>
  <cp:revision>2</cp:revision>
  <dc:subject/>
  <dc:title>Markdown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