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00" w:after="200"/>
        <w:rPr>
          <w:color w:val="000000"/>
          <w:sz w:val="40"/>
          <w:szCs w:val="40"/>
        </w:rPr>
      </w:pPr>
      <w:r>
        <w:rPr>
          <w:rFonts w:eastAsia="Georgia" w:cs="Georgia" w:ascii="Georgia" w:hAnsi="Georgia"/>
          <w:b/>
          <w:bCs/>
          <w:color w:val="000000"/>
          <w:sz w:val="40"/>
          <w:szCs w:val="40"/>
        </w:rPr>
        <w:t>Comparative Analysis of SIEM Platforms for SOC Operations</w:t>
      </w:r>
    </w:p>
    <w:p>
      <w:pPr>
        <w:pStyle w:val="Normal"/>
        <w:rPr/>
      </w:pPr>
      <w:r>
        <w:rPr/>
      </w:r>
    </w:p>
    <w:p>
      <w:pPr>
        <w:pStyle w:val="Heading1"/>
        <w:spacing w:before="300" w:after="200"/>
        <w:rPr>
          <w:sz w:val="30"/>
          <w:szCs w:val="30"/>
        </w:rPr>
      </w:pPr>
      <w:r>
        <w:rPr>
          <w:rFonts w:eastAsia="Georgia" w:cs="Georgia" w:ascii="Georgia" w:hAnsi="Georgia"/>
          <w:b/>
          <w:bCs/>
          <w:color w:val="2F5597"/>
          <w:sz w:val="30"/>
          <w:szCs w:val="30"/>
        </w:rPr>
        <w:t>1. Introduction</w:t>
      </w:r>
    </w:p>
    <w:p>
      <w:pPr>
        <w:pStyle w:val="Normal"/>
        <w:spacing w:before="0" w:after="140"/>
        <w:rPr>
          <w:sz w:val="20"/>
          <w:szCs w:val="20"/>
        </w:rPr>
      </w:pPr>
      <w:r>
        <w:rPr>
          <w:rFonts w:eastAsia="Georgia" w:cs="Georgia"/>
          <w:sz w:val="20"/>
          <w:szCs w:val="20"/>
        </w:rPr>
        <w:t>Security Information and Event Management (SIEM) platforms are central components of modern Security Operations Centers (SOC). A SIEM collects logs from multiple infrastructure sources, normalizes events, correlates suspicious patterns, and generates alerts for security analysts. SIEM platforms help SOC teams detect threats, investigate incidents, maintain compliance, and improve visibility across enterprise environments.</w:t>
      </w:r>
    </w:p>
    <w:p>
      <w:pPr>
        <w:pStyle w:val="Normal"/>
        <w:rPr>
          <w:sz w:val="20"/>
          <w:szCs w:val="20"/>
        </w:rPr>
      </w:pPr>
      <w:r>
        <w:rPr>
          <w:sz w:val="20"/>
          <w:szCs w:val="20"/>
        </w:rPr>
      </w:r>
    </w:p>
    <w:p>
      <w:pPr>
        <w:pStyle w:val="Normal"/>
        <w:spacing w:before="0" w:after="140"/>
        <w:rPr>
          <w:sz w:val="20"/>
          <w:szCs w:val="20"/>
        </w:rPr>
      </w:pPr>
      <w:r>
        <w:rPr>
          <w:rFonts w:eastAsia="Georgia" w:cs="Georgia"/>
          <w:sz w:val="20"/>
          <w:szCs w:val="20"/>
        </w:rPr>
        <w:t xml:space="preserve">The objective of this analysis is to compare </w:t>
      </w:r>
      <w:r>
        <w:rPr>
          <w:rFonts w:eastAsia="Georgia" w:cs="Georgia"/>
          <w:sz w:val="20"/>
          <w:szCs w:val="20"/>
        </w:rPr>
        <w:t>four</w:t>
      </w:r>
      <w:r>
        <w:rPr>
          <w:rFonts w:eastAsia="Georgia" w:cs="Georgia"/>
          <w:sz w:val="20"/>
          <w:szCs w:val="20"/>
        </w:rPr>
        <w:t xml:space="preserve"> major enterprise SIEM platforms:</w:t>
      </w:r>
    </w:p>
    <w:p>
      <w:pPr>
        <w:pStyle w:val="Normal"/>
        <w:rPr>
          <w:sz w:val="20"/>
          <w:szCs w:val="20"/>
        </w:rPr>
      </w:pPr>
      <w:r>
        <w:rPr>
          <w:sz w:val="20"/>
          <w:szCs w:val="20"/>
        </w:rPr>
      </w:r>
    </w:p>
    <w:p>
      <w:pPr>
        <w:pStyle w:val="ListParagraph"/>
        <w:numPr>
          <w:ilvl w:val="0"/>
          <w:numId w:val="3"/>
        </w:numPr>
        <w:spacing w:before="80" w:after="80"/>
        <w:rPr>
          <w:sz w:val="20"/>
          <w:szCs w:val="20"/>
        </w:rPr>
      </w:pPr>
      <w:r>
        <w:rPr>
          <w:rFonts w:eastAsia="Georgia" w:cs="Georgia"/>
          <w:sz w:val="20"/>
          <w:szCs w:val="20"/>
        </w:rPr>
        <w:t>Splunk Enterprise Security (ES)</w:t>
      </w:r>
    </w:p>
    <w:p>
      <w:pPr>
        <w:pStyle w:val="ListParagraph"/>
        <w:numPr>
          <w:ilvl w:val="0"/>
          <w:numId w:val="1"/>
        </w:numPr>
        <w:spacing w:before="80" w:after="80"/>
        <w:rPr>
          <w:sz w:val="20"/>
          <w:szCs w:val="20"/>
        </w:rPr>
      </w:pPr>
      <w:r>
        <w:rPr>
          <w:rFonts w:eastAsia="Georgia" w:cs="Georgia"/>
          <w:sz w:val="20"/>
          <w:szCs w:val="20"/>
        </w:rPr>
        <w:t>Microsoft Sentinel</w:t>
      </w:r>
    </w:p>
    <w:p>
      <w:pPr>
        <w:pStyle w:val="ListParagraph"/>
        <w:numPr>
          <w:ilvl w:val="0"/>
          <w:numId w:val="1"/>
        </w:numPr>
        <w:spacing w:before="80" w:after="80"/>
        <w:rPr>
          <w:sz w:val="20"/>
          <w:szCs w:val="20"/>
        </w:rPr>
      </w:pPr>
      <w:r>
        <w:rPr>
          <w:rFonts w:eastAsia="Georgia" w:cs="Georgia"/>
          <w:sz w:val="20"/>
          <w:szCs w:val="20"/>
        </w:rPr>
        <w:t>IBM Qradar</w:t>
      </w:r>
    </w:p>
    <w:p>
      <w:pPr>
        <w:pStyle w:val="ListParagraph"/>
        <w:numPr>
          <w:ilvl w:val="0"/>
          <w:numId w:val="1"/>
        </w:numPr>
        <w:spacing w:before="80" w:after="80"/>
        <w:rPr>
          <w:sz w:val="20"/>
          <w:szCs w:val="20"/>
        </w:rPr>
      </w:pPr>
      <w:r>
        <w:rPr>
          <w:rFonts w:eastAsia="Georgia" w:cs="Georgia"/>
          <w:sz w:val="20"/>
          <w:szCs w:val="20"/>
        </w:rPr>
        <w:t xml:space="preserve">Wasuh </w:t>
      </w:r>
    </w:p>
    <w:p>
      <w:pPr>
        <w:pStyle w:val="Normal"/>
        <w:rPr>
          <w:sz w:val="20"/>
          <w:szCs w:val="20"/>
        </w:rPr>
      </w:pPr>
      <w:r>
        <w:rPr>
          <w:sz w:val="20"/>
          <w:szCs w:val="20"/>
        </w:rPr>
      </w:r>
    </w:p>
    <w:p>
      <w:pPr>
        <w:pStyle w:val="Normal"/>
        <w:spacing w:before="0" w:after="140"/>
        <w:rPr>
          <w:sz w:val="20"/>
          <w:szCs w:val="20"/>
        </w:rPr>
      </w:pPr>
      <w:r>
        <w:rPr>
          <w:rFonts w:eastAsia="Georgia" w:cs="Georgia"/>
          <w:sz w:val="20"/>
          <w:szCs w:val="20"/>
        </w:rPr>
        <w:t>This comparison focuses on their suitability for SOC operations, detection capabilities, analyst workflow support, automation, scalability, and operational cost.</w:t>
      </w:r>
    </w:p>
    <w:p>
      <w:pPr>
        <w:pStyle w:val="Normal"/>
        <w:rPr>
          <w:sz w:val="20"/>
          <w:szCs w:val="20"/>
        </w:rPr>
      </w:pPr>
      <w:r>
        <w:rPr>
          <w:sz w:val="20"/>
          <w:szCs w:val="20"/>
        </w:rPr>
      </w:r>
    </w:p>
    <w:p>
      <w:pPr>
        <w:pStyle w:val="Normal"/>
        <w:spacing w:before="0" w:after="140"/>
        <w:rPr>
          <w:sz w:val="20"/>
          <w:szCs w:val="20"/>
        </w:rPr>
      </w:pPr>
      <w:r>
        <w:rPr>
          <w:rFonts w:eastAsia="Georgia" w:cs="Georgia"/>
          <w:sz w:val="20"/>
          <w:szCs w:val="20"/>
        </w:rPr>
        <w:t>---</w:t>
      </w:r>
    </w:p>
    <w:p>
      <w:pPr>
        <w:pStyle w:val="Normal"/>
        <w:rPr/>
      </w:pPr>
      <w:r>
        <w:rPr/>
      </w:r>
    </w:p>
    <w:p>
      <w:pPr>
        <w:pStyle w:val="Heading1"/>
        <w:spacing w:before="300" w:after="200"/>
        <w:rPr>
          <w:sz w:val="30"/>
          <w:szCs w:val="30"/>
        </w:rPr>
      </w:pPr>
      <w:r>
        <w:rPr>
          <w:rFonts w:eastAsia="Georgia" w:cs="Georgia" w:ascii="Georgia" w:hAnsi="Georgia"/>
          <w:b/>
          <w:bCs/>
          <w:color w:val="2F5597"/>
          <w:sz w:val="30"/>
          <w:szCs w:val="30"/>
        </w:rPr>
        <w:t>2. Tool Selection and Methodology</w:t>
      </w:r>
    </w:p>
    <w:p>
      <w:pPr>
        <w:pStyle w:val="Normal"/>
        <w:rPr/>
      </w:pPr>
      <w:r>
        <w:rPr/>
      </w:r>
    </w:p>
    <w:p>
      <w:pPr>
        <w:pStyle w:val="Heading2"/>
        <w:spacing w:before="240" w:after="160"/>
        <w:rPr>
          <w:sz w:val="26"/>
          <w:szCs w:val="26"/>
        </w:rPr>
      </w:pPr>
      <w:r>
        <w:rPr>
          <w:rFonts w:eastAsia="Georgia" w:cs="Georgia" w:ascii="Georgia" w:hAnsi="Georgia"/>
          <w:b/>
          <w:bCs/>
          <w:color w:val="2F5597"/>
          <w:sz w:val="26"/>
          <w:szCs w:val="26"/>
        </w:rPr>
        <w:t xml:space="preserve">Why These </w:t>
      </w:r>
      <w:r>
        <w:rPr>
          <w:rFonts w:eastAsia="Georgia" w:cs="Georgia" w:ascii="Georgia" w:hAnsi="Georgia"/>
          <w:b/>
          <w:bCs/>
          <w:color w:val="2F5597"/>
          <w:sz w:val="26"/>
          <w:szCs w:val="26"/>
        </w:rPr>
        <w:t>four</w:t>
      </w:r>
      <w:r>
        <w:rPr>
          <w:rFonts w:eastAsia="Georgia" w:cs="Georgia" w:ascii="Georgia" w:hAnsi="Georgia"/>
          <w:b/>
          <w:bCs/>
          <w:color w:val="2F5597"/>
          <w:sz w:val="26"/>
          <w:szCs w:val="26"/>
        </w:rPr>
        <w:t xml:space="preserve"> SIEM Platforms</w:t>
      </w:r>
    </w:p>
    <w:p>
      <w:pPr>
        <w:pStyle w:val="Normal"/>
        <w:rPr/>
      </w:pPr>
      <w:r>
        <w:rPr/>
      </w:r>
    </w:p>
    <w:p>
      <w:pPr>
        <w:pStyle w:val="Normal"/>
        <w:spacing w:before="0" w:after="140"/>
        <w:rPr>
          <w:sz w:val="20"/>
          <w:szCs w:val="20"/>
        </w:rPr>
      </w:pPr>
      <w:r>
        <w:rPr>
          <w:rFonts w:eastAsia="Georgia" w:cs="Georgia"/>
          <w:sz w:val="20"/>
          <w:szCs w:val="20"/>
        </w:rPr>
        <w:t>These three SIEM tools are widely adopted in enterprise SOC environments because they represent different deployment and operational models:</w:t>
      </w:r>
    </w:p>
    <w:p>
      <w:pPr>
        <w:pStyle w:val="Normal"/>
        <w:rPr>
          <w:sz w:val="20"/>
          <w:szCs w:val="20"/>
        </w:rPr>
      </w:pPr>
      <w:r>
        <w:rPr>
          <w:sz w:val="20"/>
          <w:szCs w:val="20"/>
        </w:rPr>
      </w:r>
    </w:p>
    <w:p>
      <w:pPr>
        <w:pStyle w:val="ListParagraph"/>
        <w:numPr>
          <w:ilvl w:val="0"/>
          <w:numId w:val="1"/>
        </w:numPr>
        <w:spacing w:before="80" w:after="80"/>
        <w:rPr>
          <w:sz w:val="20"/>
          <w:szCs w:val="20"/>
        </w:rPr>
      </w:pPr>
      <w:r>
        <w:rPr>
          <w:rFonts w:eastAsia="Georgia" w:cs="Georgia"/>
          <w:b/>
          <w:bCs/>
          <w:sz w:val="20"/>
          <w:szCs w:val="20"/>
        </w:rPr>
        <w:t>Splunk Enterprise Security</w:t>
      </w:r>
      <w:r>
        <w:rPr>
          <w:rFonts w:eastAsia="Georgia" w:cs="Georgia"/>
          <w:sz w:val="20"/>
          <w:szCs w:val="20"/>
        </w:rPr>
        <w:t xml:space="preserve"> is highly flexible and analytics-driven.</w:t>
      </w:r>
    </w:p>
    <w:p>
      <w:pPr>
        <w:pStyle w:val="ListParagraph"/>
        <w:numPr>
          <w:ilvl w:val="0"/>
          <w:numId w:val="1"/>
        </w:numPr>
        <w:spacing w:before="80" w:after="80"/>
        <w:rPr>
          <w:sz w:val="20"/>
          <w:szCs w:val="20"/>
        </w:rPr>
      </w:pPr>
      <w:r>
        <w:rPr>
          <w:rFonts w:eastAsia="Georgia" w:cs="Georgia"/>
          <w:b/>
          <w:bCs/>
          <w:sz w:val="20"/>
          <w:szCs w:val="20"/>
        </w:rPr>
        <w:t>Microsoft Sentinel</w:t>
      </w:r>
      <w:r>
        <w:rPr>
          <w:rFonts w:eastAsia="Georgia" w:cs="Georgia"/>
          <w:sz w:val="20"/>
          <w:szCs w:val="20"/>
        </w:rPr>
        <w:t xml:space="preserve"> is cloud-native and tightly integrated with Microsoft ecosystems.</w:t>
      </w:r>
    </w:p>
    <w:p>
      <w:pPr>
        <w:pStyle w:val="ListParagraph"/>
        <w:numPr>
          <w:ilvl w:val="0"/>
          <w:numId w:val="1"/>
        </w:numPr>
        <w:spacing w:before="80" w:after="80"/>
        <w:rPr>
          <w:sz w:val="20"/>
          <w:szCs w:val="20"/>
        </w:rPr>
      </w:pPr>
      <w:r>
        <w:rPr>
          <w:rFonts w:eastAsia="Georgia" w:cs="Georgia"/>
          <w:b/>
          <w:bCs/>
          <w:sz w:val="20"/>
          <w:szCs w:val="20"/>
        </w:rPr>
        <w:t>IBM QRadar</w:t>
      </w:r>
      <w:r>
        <w:rPr>
          <w:rFonts w:eastAsia="Georgia" w:cs="Georgia"/>
          <w:sz w:val="20"/>
          <w:szCs w:val="20"/>
        </w:rPr>
        <w:t xml:space="preserve"> is mature and strong in regulated enterprise environments.</w:t>
      </w:r>
    </w:p>
    <w:p>
      <w:pPr>
        <w:pStyle w:val="ListParagraph"/>
        <w:numPr>
          <w:ilvl w:val="0"/>
          <w:numId w:val="1"/>
        </w:numPr>
        <w:spacing w:before="80" w:after="80"/>
        <w:rPr/>
      </w:pPr>
      <w:r>
        <w:rPr>
          <w:rFonts w:eastAsia="Georgia" w:cs="Georgia"/>
          <w:b/>
          <w:bCs/>
          <w:sz w:val="20"/>
          <w:szCs w:val="20"/>
        </w:rPr>
        <w:t>Wazuh</w:t>
      </w:r>
      <w:r>
        <w:rPr>
          <w:rFonts w:eastAsia="Georgia" w:cs="Georgia"/>
          <w:sz w:val="20"/>
          <w:szCs w:val="20"/>
        </w:rPr>
        <w:t xml:space="preserve"> </w:t>
      </w:r>
      <w:r>
        <w:rPr>
          <w:rFonts w:eastAsia="Georgia" w:cs="Georgia"/>
          <w:sz w:val="20"/>
          <w:szCs w:val="20"/>
        </w:rPr>
        <w:t>is “</w:t>
      </w:r>
      <w:r>
        <w:rPr>
          <w:rStyle w:val="Strong"/>
          <w:rFonts w:eastAsia="Georgia" w:cs="Georgia"/>
          <w:sz w:val="20"/>
          <w:szCs w:val="20"/>
        </w:rPr>
        <w:t>the most complete open</w:t>
        <w:noBreakHyphen/>
        <w:t>source SIEM available today”</w:t>
      </w:r>
      <w:r>
        <w:rPr>
          <w:rFonts w:eastAsia="Georgia" w:cs="Georgia"/>
          <w:sz w:val="20"/>
          <w:szCs w:val="20"/>
        </w:rPr>
        <w:t>, since it bundles SIEM, EDR, FIM, vulnerability detection, and compliance checks in one platform.</w:t>
      </w:r>
    </w:p>
    <w:p>
      <w:pPr>
        <w:pStyle w:val="Normal"/>
        <w:rPr>
          <w:rFonts w:ascii="Georgia" w:hAnsi="Georgia" w:eastAsia="Georgia" w:cs="Georgia"/>
          <w:sz w:val="24"/>
          <w:szCs w:val="24"/>
        </w:rPr>
      </w:pPr>
      <w:r>
        <w:rPr/>
      </w:r>
    </w:p>
    <w:p>
      <w:pPr>
        <w:pStyle w:val="Normal"/>
        <w:rPr/>
      </w:pPr>
      <w:r>
        <w:rPr/>
      </w:r>
    </w:p>
    <w:p>
      <w:pPr>
        <w:pStyle w:val="Heading1"/>
        <w:spacing w:before="300" w:after="200"/>
        <w:rPr>
          <w:sz w:val="30"/>
          <w:szCs w:val="30"/>
        </w:rPr>
      </w:pPr>
      <w:r>
        <w:rPr>
          <w:rFonts w:eastAsia="Georgia" w:cs="Georgia" w:ascii="Georgia" w:hAnsi="Georgia"/>
          <w:b/>
          <w:bCs/>
          <w:color w:val="2F5597"/>
          <w:sz w:val="30"/>
          <w:szCs w:val="30"/>
        </w:rPr>
        <w:t>3. Tool-by-Tool Analysis</w:t>
      </w:r>
    </w:p>
    <w:p>
      <w:pPr>
        <w:pStyle w:val="Normal"/>
        <w:rPr/>
      </w:pPr>
      <w:r>
        <w:rPr/>
      </w:r>
    </w:p>
    <w:p>
      <w:pPr>
        <w:pStyle w:val="Heading2"/>
        <w:spacing w:before="300" w:after="200"/>
        <w:rPr>
          <w:sz w:val="26"/>
          <w:szCs w:val="26"/>
        </w:rPr>
      </w:pPr>
      <w:r>
        <w:rPr>
          <w:rFonts w:eastAsia="Georgia" w:cs="Georgia" w:ascii="Georgia" w:hAnsi="Georgia"/>
          <w:b/>
          <w:bCs/>
          <w:color w:val="2F5597"/>
          <w:sz w:val="26"/>
          <w:szCs w:val="26"/>
        </w:rPr>
        <w:t>3.1 Splunk Enterprise Security</w:t>
      </w:r>
    </w:p>
    <w:p>
      <w:pPr>
        <w:pStyle w:val="BodyText"/>
        <w:rPr>
          <w:sz w:val="20"/>
          <w:szCs w:val="20"/>
        </w:rPr>
      </w:pPr>
      <w:r>
        <w:rPr>
          <w:sz w:val="20"/>
          <w:szCs w:val="20"/>
        </w:rPr>
        <w:t>Splunk Enterprise Security supports multiple deployment models, including on-premises deployment, cloud deployment, and hybrid architecture. This flexibility allows organizations to align deployment with internal infrastructure policies, security requirements, and operational scale. Because of its adaptable architecture, Splunk Enterprise Security is commonly adopted in large enterprise SOC environments where handling diverse and high-volume security data is essential.</w:t>
      </w:r>
    </w:p>
    <w:p>
      <w:pPr>
        <w:pStyle w:val="BodyText"/>
        <w:rPr>
          <w:sz w:val="20"/>
          <w:szCs w:val="20"/>
        </w:rPr>
      </w:pPr>
      <w:r>
        <w:rPr>
          <w:sz w:val="20"/>
          <w:szCs w:val="20"/>
        </w:rPr>
        <w:t>For data ingestion, Splunk supports log collection from firewalls, network devices, endpoints, servers, cloud platforms, and third-party security tools. It uses forwarders and connectors to collect logs from distributed environments, enabling centralized visibility across multiple infrastructure layers. This broad ingestion capability makes it suitable for organizations operating complex and heterogeneous environments.</w:t>
      </w:r>
    </w:p>
    <w:p>
      <w:pPr>
        <w:pStyle w:val="BodyText"/>
        <w:rPr>
          <w:sz w:val="20"/>
          <w:szCs w:val="20"/>
        </w:rPr>
      </w:pPr>
      <w:r>
        <w:rPr>
          <w:sz w:val="20"/>
          <w:szCs w:val="20"/>
        </w:rPr>
        <w:t>In threat detection and correlation, Splunk Enterprise Security provides correlation searches, risk-based alerting, User and Entity Behavior Analytics (UEBA), and mapping to the MITRE ATT&amp;CK framework. Detection logic is highly customizable through SPL (Search Processing Language), which enables analysts to create advanced search-based detections tailored to specific threat scenarios.</w:t>
      </w:r>
    </w:p>
    <w:p>
      <w:pPr>
        <w:pStyle w:val="BodyText"/>
        <w:rPr>
          <w:sz w:val="20"/>
          <w:szCs w:val="20"/>
        </w:rPr>
      </w:pPr>
      <w:r>
        <w:rPr>
          <w:sz w:val="20"/>
          <w:szCs w:val="20"/>
        </w:rPr>
        <w:t>For automation and incident response, Splunk integrates with Splunk SOAR to automate repetitive SOC tasks. This includes automated enrichment, playbook execution, ticket creation, and orchestration across multiple security tools. Such integration helps reduce analyst workload and accelerates response actions.</w:t>
      </w:r>
    </w:p>
    <w:p>
      <w:pPr>
        <w:pStyle w:val="BodyText"/>
        <w:rPr>
          <w:sz w:val="20"/>
          <w:szCs w:val="20"/>
        </w:rPr>
      </w:pPr>
      <w:r>
        <w:rPr>
          <w:sz w:val="20"/>
          <w:szCs w:val="20"/>
        </w:rPr>
        <w:t>From an analyst perspective, Splunk offers powerful dashboards, a flexible search interface, and advanced threat hunting capabilities. Analysts can investigate events deeply through custom searches and data pivots, although SPL introduces a learning curve for new users and often requires training before full operational efficiency is achieved.</w:t>
      </w:r>
    </w:p>
    <w:p>
      <w:pPr>
        <w:pStyle w:val="BodyText"/>
        <w:rPr>
          <w:sz w:val="20"/>
          <w:szCs w:val="20"/>
        </w:rPr>
      </w:pPr>
      <w:r>
        <w:rPr>
          <w:sz w:val="20"/>
          <w:szCs w:val="20"/>
        </w:rPr>
        <w:t>Regarding scalability, Splunk performs well in large environments but requires careful index planning, storage optimization, and infrastructure tuning to maintain performance under heavy data volumes. Its licensing model is based on daily data ingestion volume, which often results in high operational cost for organizations processing large log volumes. For SOC teams, Splunk’s major strengths include highly flexible detection logic, strong analytics capability, and broad ecosystem integration, while its main limitations are licensing cost and the need for skilled administrators.</w:t>
      </w:r>
    </w:p>
    <w:p>
      <w:pPr>
        <w:pStyle w:val="Heading2"/>
        <w:rPr/>
      </w:pPr>
      <w:r>
        <w:rPr/>
      </w:r>
    </w:p>
    <w:p>
      <w:pPr>
        <w:pStyle w:val="Heading2"/>
        <w:rPr/>
      </w:pPr>
      <w:r>
        <w:rPr/>
      </w:r>
    </w:p>
    <w:p>
      <w:pPr>
        <w:pStyle w:val="Heading2"/>
        <w:rPr>
          <w:sz w:val="26"/>
          <w:szCs w:val="26"/>
        </w:rPr>
      </w:pPr>
      <w:r>
        <w:rPr>
          <w:sz w:val="26"/>
          <w:szCs w:val="26"/>
        </w:rPr>
        <w:t>3.2 Microsoft Sentinel</w:t>
      </w:r>
    </w:p>
    <w:p>
      <w:pPr>
        <w:pStyle w:val="BodyText"/>
        <w:rPr>
          <w:sz w:val="20"/>
          <w:szCs w:val="20"/>
        </w:rPr>
      </w:pPr>
      <w:r>
        <w:rPr>
          <w:sz w:val="20"/>
          <w:szCs w:val="20"/>
        </w:rPr>
        <w:t>Microsoft Sentinel is a cloud-native SIEM built on the Microsoft Azure platform. Unlike traditional SIEM deployments, it does not require dedicated on-premises infrastructure, which reduces deployment complexity and infrastructure maintenance requirements.</w:t>
      </w:r>
    </w:p>
    <w:p>
      <w:pPr>
        <w:pStyle w:val="BodyText"/>
        <w:rPr>
          <w:sz w:val="20"/>
          <w:szCs w:val="20"/>
        </w:rPr>
      </w:pPr>
      <w:r>
        <w:rPr>
          <w:sz w:val="20"/>
          <w:szCs w:val="20"/>
        </w:rPr>
        <w:t>Sentinel collects data from Azure services, Microsoft 365, endpoints, AWS, and third-party connectors. It uses Azure Log Analytics as its core storage and processing engine, allowing centralized analysis of security telemetry from multiple cloud and hybrid environments.</w:t>
      </w:r>
    </w:p>
    <w:p>
      <w:pPr>
        <w:pStyle w:val="BodyText"/>
        <w:rPr>
          <w:sz w:val="20"/>
          <w:szCs w:val="20"/>
        </w:rPr>
      </w:pPr>
      <w:r>
        <w:rPr>
          <w:sz w:val="20"/>
          <w:szCs w:val="20"/>
        </w:rPr>
        <w:t>For detection and correlation, Sentinel provides built-in analytics rules, machine learning-based detections, and ATT&amp;CK-aligned security analytics. Detection queries are written using KQL (Kusto Query Language), which enables analysts to build custom detections and hunting logic efficiently.</w:t>
      </w:r>
    </w:p>
    <w:p>
      <w:pPr>
        <w:pStyle w:val="BodyText"/>
        <w:rPr>
          <w:sz w:val="20"/>
          <w:szCs w:val="20"/>
        </w:rPr>
      </w:pPr>
      <w:r>
        <w:rPr>
          <w:sz w:val="20"/>
          <w:szCs w:val="20"/>
        </w:rPr>
        <w:t>Automation within Sentinel is achieved through integration with Azure Logic Apps. This enables automated playbooks for alert enrichment, response workflows, and repetitive incident-handling tasks. Such automation is especially valuable in reducing alert fatigue inside SOC operations.</w:t>
      </w:r>
    </w:p>
    <w:p>
      <w:pPr>
        <w:pStyle w:val="BodyText"/>
        <w:rPr>
          <w:sz w:val="20"/>
          <w:szCs w:val="20"/>
        </w:rPr>
      </w:pPr>
      <w:r>
        <w:rPr>
          <w:sz w:val="20"/>
          <w:szCs w:val="20"/>
        </w:rPr>
        <w:t>The analyst experience in Sentinel includes modern cloud dashboards, investigation graphs, and hunting query support. It is especially efficient for analysts already familiar with Azure services because the interface and workflows align closely with Microsoft’s broader security ecosystem.</w:t>
      </w:r>
    </w:p>
    <w:p>
      <w:pPr>
        <w:pStyle w:val="BodyText"/>
        <w:rPr>
          <w:sz w:val="20"/>
          <w:szCs w:val="20"/>
        </w:rPr>
      </w:pPr>
      <w:r>
        <w:rPr>
          <w:sz w:val="20"/>
          <w:szCs w:val="20"/>
        </w:rPr>
        <w:t>Since Sentinel is cloud-native, scaling is automatic and infrastructure management remains minimal. However, its pricing model is consumption-based and depends on log ingestion volume, which can become expensive in large-scale deployments. Sentinel’s major strengths for SOC teams include rapid deployment, strong Microsoft ecosystem integration, and built-in automation, while its limitations include cost growth at scale and strongest value mainly in Microsoft-heavy environments.</w:t>
      </w:r>
    </w:p>
    <w:p>
      <w:pPr>
        <w:pStyle w:val="Heading2"/>
        <w:rPr/>
      </w:pPr>
      <w:r>
        <w:rPr/>
      </w:r>
    </w:p>
    <w:p>
      <w:pPr>
        <w:pStyle w:val="Heading2"/>
        <w:rPr>
          <w:sz w:val="26"/>
          <w:szCs w:val="26"/>
        </w:rPr>
      </w:pPr>
      <w:r>
        <w:rPr>
          <w:sz w:val="26"/>
          <w:szCs w:val="26"/>
        </w:rPr>
        <w:t>3.3 IBM QRadar</w:t>
      </w:r>
    </w:p>
    <w:p>
      <w:pPr>
        <w:pStyle w:val="BodyText"/>
        <w:rPr>
          <w:sz w:val="20"/>
          <w:szCs w:val="20"/>
        </w:rPr>
      </w:pPr>
      <w:r>
        <w:rPr>
          <w:sz w:val="20"/>
          <w:szCs w:val="20"/>
        </w:rPr>
        <w:t>IBM QRadar supports on-premises deployment, hybrid deployment, and cloud-based options such as QRadar on Cloud. It is widely used in large enterprises and regulated sectors where long-term stability, compliance, and structured security monitoring are critical.</w:t>
      </w:r>
    </w:p>
    <w:p>
      <w:pPr>
        <w:pStyle w:val="BodyText"/>
        <w:rPr>
          <w:sz w:val="20"/>
          <w:szCs w:val="20"/>
        </w:rPr>
      </w:pPr>
      <w:r>
        <w:rPr>
          <w:sz w:val="20"/>
          <w:szCs w:val="20"/>
        </w:rPr>
        <w:t>QRadar supports ingestion of network logs, security device logs, endpoint telemetry, identity systems, and industrial infrastructure logs. This broad log support makes it suitable for environments requiring strong visibility across both IT and operational technology layers.</w:t>
      </w:r>
    </w:p>
    <w:p>
      <w:pPr>
        <w:pStyle w:val="BodyText"/>
        <w:rPr>
          <w:sz w:val="20"/>
          <w:szCs w:val="20"/>
        </w:rPr>
      </w:pPr>
      <w:r>
        <w:rPr>
          <w:sz w:val="20"/>
          <w:szCs w:val="20"/>
        </w:rPr>
        <w:t>Its detection engine is built around rule-based correlation, offense generation, and behavioral analytics. QRadar is particularly strong in structured event correlation, where multiple related events are grouped into offenses for analyst investigation.</w:t>
      </w:r>
    </w:p>
    <w:p>
      <w:pPr>
        <w:pStyle w:val="BodyText"/>
        <w:rPr>
          <w:sz w:val="20"/>
          <w:szCs w:val="20"/>
        </w:rPr>
      </w:pPr>
      <w:r>
        <w:rPr>
          <w:sz w:val="20"/>
          <w:szCs w:val="20"/>
        </w:rPr>
        <w:t>For automation and response, QRadar integrates with QRadar SOAR, enabling case handling, response workflows, and ticketing processes. This structured approach supports controlled incident management in mature SOC environments.</w:t>
      </w:r>
    </w:p>
    <w:p>
      <w:pPr>
        <w:pStyle w:val="BodyText"/>
        <w:rPr>
          <w:sz w:val="20"/>
          <w:szCs w:val="20"/>
        </w:rPr>
      </w:pPr>
      <w:r>
        <w:rPr>
          <w:sz w:val="20"/>
          <w:szCs w:val="20"/>
        </w:rPr>
        <w:t>The analyst interface provides offense-based investigation workflows and structured event views, which help analysts prioritize incidents. However, the platform may feel complex for junior analysts because of its operational depth and configuration layers.</w:t>
      </w:r>
    </w:p>
    <w:p>
      <w:pPr>
        <w:pStyle w:val="BodyText"/>
        <w:rPr>
          <w:sz w:val="20"/>
          <w:szCs w:val="20"/>
        </w:rPr>
      </w:pPr>
      <w:r>
        <w:rPr>
          <w:sz w:val="20"/>
          <w:szCs w:val="20"/>
        </w:rPr>
        <w:t>QRadar performs strongly in large enterprise deployments but requires infrastructure planning to maintain performance. Its pricing is generally positioned at enterprise level. For SOC teams, its strengths include strong compliance support, mature enterprise workflows, and a stable correlation engine, while its limitations include lower flexibility compared to Splunk for custom analytics and higher administrative complexity.</w:t>
      </w:r>
    </w:p>
    <w:p>
      <w:pPr>
        <w:pStyle w:val="Heading1"/>
        <w:spacing w:before="300" w:after="200"/>
        <w:rPr>
          <w:rFonts w:ascii="Georgia" w:hAnsi="Georgia" w:eastAsia="Georgia" w:cs="Georgia"/>
          <w:b/>
          <w:bCs/>
          <w:color w:val="2F5597"/>
        </w:rPr>
      </w:pPr>
      <w:r>
        <w:rPr>
          <w:sz w:val="20"/>
          <w:szCs w:val="20"/>
        </w:rPr>
      </w:r>
    </w:p>
    <w:p>
      <w:pPr>
        <w:pStyle w:val="Heading2"/>
        <w:rPr>
          <w:sz w:val="26"/>
          <w:szCs w:val="26"/>
        </w:rPr>
      </w:pPr>
      <w:r>
        <w:rPr>
          <w:sz w:val="26"/>
          <w:szCs w:val="26"/>
        </w:rPr>
        <w:t xml:space="preserve">3.4 </w:t>
      </w:r>
      <w:r>
        <w:rPr>
          <w:sz w:val="26"/>
          <w:szCs w:val="26"/>
        </w:rPr>
        <w:t xml:space="preserve">Wazuh </w:t>
      </w:r>
      <w:r>
        <w:rPr>
          <w:sz w:val="26"/>
          <w:szCs w:val="26"/>
        </w:rPr>
        <w:t>SIEM</w:t>
      </w:r>
    </w:p>
    <w:p>
      <w:pPr>
        <w:pStyle w:val="BodyText"/>
        <w:rPr>
          <w:sz w:val="20"/>
          <w:szCs w:val="20"/>
        </w:rPr>
      </w:pPr>
      <w:r>
        <w:rPr>
          <w:sz w:val="20"/>
          <w:szCs w:val="20"/>
        </w:rPr>
        <w:t>Wazuh is an open-source SIEM and security monitoring platform designed to provide log analysis, threat detection, integrity monitoring, vulnerability detection, and incident response capabilities. It is commonly deployed in on-premises environments, cloud infrastructures, or hybrid architectures depending on organizational requirements. Because of its lightweight and modular architecture, Wazuh is widely used in learning environments, small to medium SOC deployments, and organizations seeking cost-effective security monitoring without commercial licensing costs.</w:t>
      </w:r>
    </w:p>
    <w:p>
      <w:pPr>
        <w:pStyle w:val="BodyText"/>
        <w:rPr/>
      </w:pPr>
      <w:r>
        <w:rPr>
          <w:sz w:val="20"/>
          <w:szCs w:val="20"/>
        </w:rPr>
        <w:t xml:space="preserve">For deployment, Wazuh typically consists of a </w:t>
      </w:r>
      <w:r>
        <w:rPr>
          <w:rStyle w:val="Strong"/>
          <w:sz w:val="20"/>
          <w:szCs w:val="20"/>
        </w:rPr>
        <w:t>Wazuh Manager</w:t>
      </w:r>
      <w:r>
        <w:rPr>
          <w:sz w:val="20"/>
          <w:szCs w:val="20"/>
        </w:rPr>
        <w:t xml:space="preserve">, </w:t>
      </w:r>
      <w:r>
        <w:rPr>
          <w:rStyle w:val="Strong"/>
          <w:sz w:val="20"/>
          <w:szCs w:val="20"/>
        </w:rPr>
        <w:t>Wazuh Indexer</w:t>
      </w:r>
      <w:r>
        <w:rPr>
          <w:sz w:val="20"/>
          <w:szCs w:val="20"/>
        </w:rPr>
        <w:t xml:space="preserve">, and </w:t>
      </w:r>
      <w:r>
        <w:rPr>
          <w:rStyle w:val="Strong"/>
          <w:sz w:val="20"/>
          <w:szCs w:val="20"/>
        </w:rPr>
        <w:t>Wazuh Dashboard</w:t>
      </w:r>
      <w:r>
        <w:rPr>
          <w:sz w:val="20"/>
          <w:szCs w:val="20"/>
        </w:rPr>
        <w:t>. The manager performs event analysis and rule processing, the indexer stores and indexes security events, and the dashboard provides web-based visualization and investigation capabilities. In smaller environments, these components may run on a single server, while larger deployments separate them for better scalability and performance.</w:t>
      </w:r>
    </w:p>
    <w:p>
      <w:pPr>
        <w:pStyle w:val="BodyText"/>
        <w:rPr>
          <w:sz w:val="20"/>
          <w:szCs w:val="20"/>
        </w:rPr>
      </w:pPr>
      <w:r>
        <w:rPr>
          <w:sz w:val="20"/>
          <w:szCs w:val="20"/>
        </w:rPr>
        <w:t>In log source coverage and data ingestion, Wazuh collects logs from endpoints, Linux servers, Windows systems, network devices, cloud services, containers, and third-party security products. It uses lightweight agents installed on monitored systems to forward logs and security events to the Wazuh manager. Agentless monitoring is also possible in some cases through remote log collection and integration with external sources such as syslog devices.</w:t>
      </w:r>
    </w:p>
    <w:p>
      <w:pPr>
        <w:pStyle w:val="BodyText"/>
        <w:rPr>
          <w:sz w:val="20"/>
          <w:szCs w:val="20"/>
        </w:rPr>
      </w:pPr>
      <w:r>
        <w:rPr>
          <w:sz w:val="20"/>
          <w:szCs w:val="20"/>
        </w:rPr>
        <w:t>For threat detection and correlation, Wazuh uses rule-based detection supported by decoders, rulesets, and correlation logic. It includes built-in detection for suspicious authentication behavior, privilege escalation, malware indicators, configuration changes, and system anomalies. Wazuh also supports mapping detections to the MITRE ATT&amp;CK framework, helping analysts classify alerts according to known adversary techniques. Detection rules can be customized using XML-based rule definitions, allowing SOC teams to extend coverage according to their own environment.</w:t>
      </w:r>
    </w:p>
    <w:p>
      <w:pPr>
        <w:pStyle w:val="BodyText"/>
        <w:rPr/>
      </w:pPr>
      <w:r>
        <w:rPr>
          <w:sz w:val="20"/>
          <w:szCs w:val="20"/>
        </w:rPr>
        <w:t xml:space="preserve">A major strength of Wazuh is its support for </w:t>
      </w:r>
      <w:r>
        <w:rPr>
          <w:rStyle w:val="Strong"/>
          <w:sz w:val="20"/>
          <w:szCs w:val="20"/>
        </w:rPr>
        <w:t>File Integrity Monitoring (FIM)</w:t>
      </w:r>
      <w:r>
        <w:rPr>
          <w:sz w:val="20"/>
          <w:szCs w:val="20"/>
        </w:rPr>
        <w:t>, where the platform continuously checks important files and directories for unauthorized changes. It also provides vulnerability detection by comparing installed software against known vulnerability databases, allowing analysts to identify exposed systems directly from endpoint telemetry.</w:t>
      </w:r>
    </w:p>
    <w:p>
      <w:pPr>
        <w:pStyle w:val="BodyText"/>
        <w:rPr>
          <w:sz w:val="20"/>
          <w:szCs w:val="20"/>
        </w:rPr>
      </w:pPr>
      <w:r>
        <w:rPr>
          <w:sz w:val="20"/>
          <w:szCs w:val="20"/>
        </w:rPr>
        <w:t>For automation and incident response, Wazuh supports active response actions that can automatically block IP addresses, terminate malicious processes, or quarantine suspicious files when specific alerts are triggered. It can also integrate with external automation tools, ticketing systems, and threat intelligence feeds to enrich alerts and support broader SOC workflows.</w:t>
      </w:r>
    </w:p>
    <w:p>
      <w:pPr>
        <w:pStyle w:val="BodyText"/>
        <w:rPr>
          <w:sz w:val="20"/>
          <w:szCs w:val="20"/>
        </w:rPr>
      </w:pPr>
      <w:r>
        <w:rPr>
          <w:sz w:val="20"/>
          <w:szCs w:val="20"/>
        </w:rPr>
        <w:t>From an analyst perspective, Wazuh offers a web dashboard for alert visualization, event filtering, and security investigation. Analysts can review alerts by severity, source, rule category, and affected host. The interface is generally easier for beginners compared to some enterprise SIEM platforms, although advanced rule tuning requires familiarity with Wazuh rule structure and decoder logic.</w:t>
      </w:r>
    </w:p>
    <w:p>
      <w:pPr>
        <w:pStyle w:val="BodyText"/>
        <w:rPr>
          <w:sz w:val="20"/>
          <w:szCs w:val="20"/>
        </w:rPr>
      </w:pPr>
      <w:r>
        <w:rPr>
          <w:sz w:val="20"/>
          <w:szCs w:val="20"/>
        </w:rPr>
        <w:t>In scalability and performance, Wazuh performs efficiently in small and medium deployments, but larger environments require careful separation of manager, indexer, and storage resources. Performance depends on event volume, agent count, and index retention planning. Because it is open-source, organizations avoid licensing costs, but operational overhead still exists for infrastructure maintenance, tuning, and rule management.</w:t>
      </w:r>
    </w:p>
    <w:p>
      <w:pPr>
        <w:pStyle w:val="BodyText"/>
        <w:rPr>
          <w:sz w:val="20"/>
          <w:szCs w:val="20"/>
        </w:rPr>
      </w:pPr>
      <w:r>
        <w:rPr>
          <w:sz w:val="20"/>
          <w:szCs w:val="20"/>
        </w:rPr>
        <w:t>For SOC teams, Wazuh offers major advantages such as no licensing cost, strong endpoint visibility, built-in integrity monitoring, and flexible rule customization. Its limitations include more manual tuning compared to commercial SIEM platforms, fewer advanced native analytics features, and the need for administrators to manage infrastructure directly.</w:t>
      </w:r>
    </w:p>
    <w:p>
      <w:pPr>
        <w:pStyle w:val="Normal"/>
        <w:rPr>
          <w:sz w:val="20"/>
          <w:szCs w:val="20"/>
        </w:rPr>
      </w:pPr>
      <w:r>
        <w:rPr>
          <w:sz w:val="20"/>
          <w:szCs w:val="20"/>
        </w:rPr>
      </w:r>
    </w:p>
    <w:p>
      <w:pPr>
        <w:pStyle w:val="Normal"/>
        <w:rPr>
          <w:sz w:val="20"/>
          <w:szCs w:val="20"/>
        </w:rPr>
      </w:pPr>
      <w:r>
        <w:rPr>
          <w:sz w:val="20"/>
          <w:szCs w:val="20"/>
        </w:rPr>
      </w:r>
    </w:p>
    <w:p>
      <w:pPr>
        <w:pStyle w:val="Heading1"/>
        <w:spacing w:before="300" w:after="200"/>
        <w:rPr>
          <w:sz w:val="28"/>
          <w:szCs w:val="28"/>
        </w:rPr>
      </w:pPr>
      <w:r>
        <w:rPr>
          <w:rFonts w:eastAsia="Georgia" w:cs="Georgia" w:ascii="Georgia" w:hAnsi="Georgia"/>
          <w:b/>
          <w:bCs/>
          <w:color w:val="2F5597"/>
          <w:sz w:val="28"/>
          <w:szCs w:val="28"/>
        </w:rPr>
        <w:t xml:space="preserve">4. </w:t>
      </w:r>
      <w:r>
        <w:rPr>
          <w:rFonts w:eastAsia="Georgia" w:cs="Georgia" w:ascii="Georgia" w:hAnsi="Georgia"/>
          <w:b/>
          <w:bCs/>
          <w:color w:val="2F5597"/>
          <w:sz w:val="28"/>
          <w:szCs w:val="28"/>
        </w:rPr>
        <w:t>Comparative Analysis</w:t>
      </w:r>
    </w:p>
    <w:p>
      <w:pPr>
        <w:pStyle w:val="Heading1"/>
        <w:spacing w:before="300" w:after="200"/>
        <w:rPr/>
      </w:pPr>
      <w:r>
        <w:rPr>
          <w:rFonts w:eastAsia="Georgia" w:cs="Georgia" w:ascii="Georgia" w:hAnsi="Georgia"/>
          <w:b/>
          <w:bCs/>
          <w:color w:val="2F5597"/>
          <w:sz w:val="26"/>
          <w:szCs w:val="26"/>
        </w:rPr>
        <w:t>Comparative Analysis Table</w:t>
      </w:r>
    </w:p>
    <w:p>
      <w:pPr>
        <w:pStyle w:val="Normal"/>
        <w:rPr/>
      </w:pPr>
      <w:r>
        <w:rPr/>
      </w:r>
    </w:p>
    <w:tbl>
      <w:tblPr>
        <w:tblW w:w="11076" w:type="dxa"/>
        <w:jc w:val="start"/>
        <w:tblInd w:w="-899" w:type="dxa"/>
        <w:tblLayout w:type="fixed"/>
        <w:tblCellMar>
          <w:top w:w="28" w:type="dxa"/>
          <w:start w:w="28" w:type="dxa"/>
          <w:bottom w:w="28" w:type="dxa"/>
          <w:end w:w="28" w:type="dxa"/>
        </w:tblCellMar>
      </w:tblPr>
      <w:tblGrid>
        <w:gridCol w:w="1988"/>
        <w:gridCol w:w="2233"/>
        <w:gridCol w:w="2145"/>
        <w:gridCol w:w="2181"/>
        <w:gridCol w:w="2529"/>
      </w:tblGrid>
      <w:tr>
        <w:trPr>
          <w:tblHeader w:val="true"/>
        </w:trPr>
        <w:tc>
          <w:tcPr>
            <w:tcW w:w="1988" w:type="dxa"/>
            <w:tcBorders/>
            <w:vAlign w:val="center"/>
          </w:tcPr>
          <w:p>
            <w:pPr>
              <w:pStyle w:val="TableHeading"/>
              <w:spacing w:before="0" w:after="200"/>
              <w:rPr>
                <w:sz w:val="20"/>
                <w:szCs w:val="20"/>
              </w:rPr>
            </w:pPr>
            <w:r>
              <w:rPr>
                <w:sz w:val="20"/>
                <w:szCs w:val="20"/>
              </w:rPr>
              <w:t>Aspect</w:t>
            </w:r>
          </w:p>
        </w:tc>
        <w:tc>
          <w:tcPr>
            <w:tcW w:w="2233" w:type="dxa"/>
            <w:tcBorders/>
            <w:vAlign w:val="center"/>
          </w:tcPr>
          <w:p>
            <w:pPr>
              <w:pStyle w:val="TableHeading"/>
              <w:spacing w:before="0" w:after="200"/>
              <w:rPr>
                <w:sz w:val="20"/>
                <w:szCs w:val="20"/>
              </w:rPr>
            </w:pPr>
            <w:r>
              <w:rPr>
                <w:sz w:val="20"/>
                <w:szCs w:val="20"/>
              </w:rPr>
              <w:t>Splunk Enterprise Security</w:t>
            </w:r>
          </w:p>
        </w:tc>
        <w:tc>
          <w:tcPr>
            <w:tcW w:w="2145" w:type="dxa"/>
            <w:tcBorders/>
            <w:vAlign w:val="center"/>
          </w:tcPr>
          <w:p>
            <w:pPr>
              <w:pStyle w:val="TableHeading"/>
              <w:spacing w:before="0" w:after="200"/>
              <w:rPr>
                <w:sz w:val="20"/>
                <w:szCs w:val="20"/>
              </w:rPr>
            </w:pPr>
            <w:r>
              <w:rPr>
                <w:sz w:val="20"/>
                <w:szCs w:val="20"/>
              </w:rPr>
              <w:t>Microsoft Sentinel</w:t>
            </w:r>
          </w:p>
        </w:tc>
        <w:tc>
          <w:tcPr>
            <w:tcW w:w="2181" w:type="dxa"/>
            <w:tcBorders/>
            <w:vAlign w:val="center"/>
          </w:tcPr>
          <w:p>
            <w:pPr>
              <w:pStyle w:val="TableHeading"/>
              <w:spacing w:before="0" w:after="200"/>
              <w:rPr>
                <w:sz w:val="20"/>
                <w:szCs w:val="20"/>
              </w:rPr>
            </w:pPr>
            <w:r>
              <w:rPr>
                <w:sz w:val="20"/>
                <w:szCs w:val="20"/>
              </w:rPr>
              <w:t>IBM QRadar</w:t>
            </w:r>
          </w:p>
        </w:tc>
        <w:tc>
          <w:tcPr>
            <w:tcW w:w="2529" w:type="dxa"/>
            <w:tcBorders/>
            <w:vAlign w:val="center"/>
          </w:tcPr>
          <w:p>
            <w:pPr>
              <w:pStyle w:val="TableHeading"/>
              <w:spacing w:before="0" w:after="200"/>
              <w:rPr>
                <w:sz w:val="20"/>
                <w:szCs w:val="20"/>
              </w:rPr>
            </w:pPr>
            <w:r>
              <w:rPr>
                <w:sz w:val="20"/>
                <w:szCs w:val="20"/>
              </w:rPr>
              <w:t>Wazuh</w:t>
            </w:r>
          </w:p>
        </w:tc>
      </w:tr>
      <w:tr>
        <w:trPr/>
        <w:tc>
          <w:tcPr>
            <w:tcW w:w="1988" w:type="dxa"/>
            <w:tcBorders/>
            <w:vAlign w:val="center"/>
          </w:tcPr>
          <w:p>
            <w:pPr>
              <w:pStyle w:val="TableContents"/>
              <w:widowControl w:val="false"/>
              <w:suppressLineNumbers/>
              <w:spacing w:before="0" w:after="200"/>
              <w:rPr/>
            </w:pPr>
            <w:r>
              <w:rPr>
                <w:rStyle w:val="Strong"/>
                <w:sz w:val="18"/>
                <w:szCs w:val="18"/>
              </w:rPr>
              <w:t>Deployment model</w:t>
            </w:r>
          </w:p>
        </w:tc>
        <w:tc>
          <w:tcPr>
            <w:tcW w:w="2233" w:type="dxa"/>
            <w:tcBorders/>
            <w:vAlign w:val="center"/>
          </w:tcPr>
          <w:p>
            <w:pPr>
              <w:pStyle w:val="TableContents"/>
              <w:spacing w:before="0" w:after="200"/>
              <w:rPr>
                <w:sz w:val="18"/>
                <w:szCs w:val="18"/>
              </w:rPr>
            </w:pPr>
            <w:r>
              <w:rPr>
                <w:sz w:val="18"/>
                <w:szCs w:val="18"/>
              </w:rPr>
              <w:t>On-prem / hybrid / cloud</w:t>
            </w:r>
          </w:p>
        </w:tc>
        <w:tc>
          <w:tcPr>
            <w:tcW w:w="2145" w:type="dxa"/>
            <w:tcBorders/>
            <w:vAlign w:val="center"/>
          </w:tcPr>
          <w:p>
            <w:pPr>
              <w:pStyle w:val="TableContents"/>
              <w:spacing w:before="0" w:after="200"/>
              <w:rPr>
                <w:sz w:val="18"/>
                <w:szCs w:val="18"/>
              </w:rPr>
            </w:pPr>
            <w:r>
              <w:rPr>
                <w:sz w:val="18"/>
                <w:szCs w:val="18"/>
              </w:rPr>
              <w:t>Cloud-native (Azure)</w:t>
            </w:r>
          </w:p>
        </w:tc>
        <w:tc>
          <w:tcPr>
            <w:tcW w:w="2181" w:type="dxa"/>
            <w:tcBorders/>
            <w:vAlign w:val="center"/>
          </w:tcPr>
          <w:p>
            <w:pPr>
              <w:pStyle w:val="TableContents"/>
              <w:spacing w:before="0" w:after="200"/>
              <w:rPr>
                <w:sz w:val="18"/>
                <w:szCs w:val="18"/>
              </w:rPr>
            </w:pPr>
            <w:r>
              <w:rPr>
                <w:sz w:val="18"/>
                <w:szCs w:val="18"/>
              </w:rPr>
              <w:t>On-prem / hybrid</w:t>
            </w:r>
          </w:p>
        </w:tc>
        <w:tc>
          <w:tcPr>
            <w:tcW w:w="2529" w:type="dxa"/>
            <w:tcBorders/>
            <w:vAlign w:val="center"/>
          </w:tcPr>
          <w:p>
            <w:pPr>
              <w:pStyle w:val="TableContents"/>
              <w:spacing w:before="0" w:after="200"/>
              <w:rPr>
                <w:sz w:val="18"/>
                <w:szCs w:val="18"/>
              </w:rPr>
            </w:pPr>
            <w:r>
              <w:rPr>
                <w:sz w:val="18"/>
                <w:szCs w:val="18"/>
              </w:rPr>
              <w:t>On-prem / hybrid / cloud</w:t>
            </w:r>
          </w:p>
        </w:tc>
      </w:tr>
      <w:tr>
        <w:trPr/>
        <w:tc>
          <w:tcPr>
            <w:tcW w:w="1988" w:type="dxa"/>
            <w:tcBorders/>
            <w:vAlign w:val="center"/>
          </w:tcPr>
          <w:p>
            <w:pPr>
              <w:pStyle w:val="TableContents"/>
              <w:widowControl w:val="false"/>
              <w:suppressLineNumbers/>
              <w:spacing w:before="0" w:after="200"/>
              <w:rPr/>
            </w:pPr>
            <w:r>
              <w:rPr>
                <w:rStyle w:val="Strong"/>
                <w:sz w:val="18"/>
                <w:szCs w:val="18"/>
              </w:rPr>
              <w:t>SOC usability</w:t>
            </w:r>
          </w:p>
        </w:tc>
        <w:tc>
          <w:tcPr>
            <w:tcW w:w="2233" w:type="dxa"/>
            <w:tcBorders/>
            <w:vAlign w:val="center"/>
          </w:tcPr>
          <w:p>
            <w:pPr>
              <w:pStyle w:val="TableContents"/>
              <w:spacing w:before="0" w:after="200"/>
              <w:rPr>
                <w:sz w:val="18"/>
                <w:szCs w:val="18"/>
              </w:rPr>
            </w:pPr>
            <w:r>
              <w:rPr>
                <w:sz w:val="18"/>
                <w:szCs w:val="18"/>
              </w:rPr>
              <w:t>High but SPL learning required</w:t>
            </w:r>
          </w:p>
        </w:tc>
        <w:tc>
          <w:tcPr>
            <w:tcW w:w="2145" w:type="dxa"/>
            <w:tcBorders/>
            <w:vAlign w:val="center"/>
          </w:tcPr>
          <w:p>
            <w:pPr>
              <w:pStyle w:val="TableContents"/>
              <w:spacing w:before="0" w:after="200"/>
              <w:rPr>
                <w:sz w:val="18"/>
                <w:szCs w:val="18"/>
              </w:rPr>
            </w:pPr>
            <w:r>
              <w:rPr>
                <w:sz w:val="18"/>
                <w:szCs w:val="18"/>
              </w:rPr>
              <w:t>Modern UI with KQL</w:t>
            </w:r>
          </w:p>
        </w:tc>
        <w:tc>
          <w:tcPr>
            <w:tcW w:w="2181" w:type="dxa"/>
            <w:tcBorders/>
            <w:vAlign w:val="center"/>
          </w:tcPr>
          <w:p>
            <w:pPr>
              <w:pStyle w:val="TableContents"/>
              <w:spacing w:before="0" w:after="200"/>
              <w:rPr>
                <w:sz w:val="18"/>
                <w:szCs w:val="18"/>
              </w:rPr>
            </w:pPr>
            <w:r>
              <w:rPr>
                <w:sz w:val="18"/>
                <w:szCs w:val="18"/>
              </w:rPr>
              <w:t>Good but complex</w:t>
            </w:r>
          </w:p>
        </w:tc>
        <w:tc>
          <w:tcPr>
            <w:tcW w:w="2529" w:type="dxa"/>
            <w:tcBorders/>
            <w:vAlign w:val="center"/>
          </w:tcPr>
          <w:p>
            <w:pPr>
              <w:pStyle w:val="TableContents"/>
              <w:spacing w:before="0" w:after="200"/>
              <w:rPr>
                <w:sz w:val="18"/>
                <w:szCs w:val="18"/>
              </w:rPr>
            </w:pPr>
            <w:r>
              <w:rPr>
                <w:sz w:val="18"/>
                <w:szCs w:val="18"/>
              </w:rPr>
              <w:t>Beginner-friendly dashboard, rule tuning needed</w:t>
            </w:r>
          </w:p>
        </w:tc>
      </w:tr>
      <w:tr>
        <w:trPr/>
        <w:tc>
          <w:tcPr>
            <w:tcW w:w="1988" w:type="dxa"/>
            <w:tcBorders/>
            <w:vAlign w:val="center"/>
          </w:tcPr>
          <w:p>
            <w:pPr>
              <w:pStyle w:val="TableContents"/>
              <w:widowControl w:val="false"/>
              <w:suppressLineNumbers/>
              <w:spacing w:before="0" w:after="200"/>
              <w:rPr/>
            </w:pPr>
            <w:r>
              <w:rPr>
                <w:rStyle w:val="Strong"/>
                <w:sz w:val="18"/>
                <w:szCs w:val="18"/>
              </w:rPr>
              <w:t>Detection &amp; analytics</w:t>
            </w:r>
          </w:p>
        </w:tc>
        <w:tc>
          <w:tcPr>
            <w:tcW w:w="2233" w:type="dxa"/>
            <w:tcBorders/>
            <w:vAlign w:val="center"/>
          </w:tcPr>
          <w:p>
            <w:pPr>
              <w:pStyle w:val="TableContents"/>
              <w:spacing w:before="0" w:after="200"/>
              <w:rPr>
                <w:sz w:val="18"/>
                <w:szCs w:val="18"/>
              </w:rPr>
            </w:pPr>
            <w:r>
              <w:rPr>
                <w:sz w:val="18"/>
                <w:szCs w:val="18"/>
              </w:rPr>
              <w:t>Very strong custom analytics</w:t>
            </w:r>
          </w:p>
        </w:tc>
        <w:tc>
          <w:tcPr>
            <w:tcW w:w="2145" w:type="dxa"/>
            <w:tcBorders/>
            <w:vAlign w:val="center"/>
          </w:tcPr>
          <w:p>
            <w:pPr>
              <w:pStyle w:val="TableContents"/>
              <w:spacing w:before="0" w:after="200"/>
              <w:rPr>
                <w:sz w:val="18"/>
                <w:szCs w:val="18"/>
              </w:rPr>
            </w:pPr>
            <w:r>
              <w:rPr>
                <w:sz w:val="18"/>
                <w:szCs w:val="18"/>
              </w:rPr>
              <w:t>Strong ML + cloud detections</w:t>
            </w:r>
          </w:p>
        </w:tc>
        <w:tc>
          <w:tcPr>
            <w:tcW w:w="2181" w:type="dxa"/>
            <w:tcBorders/>
            <w:vAlign w:val="center"/>
          </w:tcPr>
          <w:p>
            <w:pPr>
              <w:pStyle w:val="TableContents"/>
              <w:spacing w:before="0" w:after="200"/>
              <w:rPr>
                <w:sz w:val="18"/>
                <w:szCs w:val="18"/>
              </w:rPr>
            </w:pPr>
            <w:r>
              <w:rPr>
                <w:sz w:val="18"/>
                <w:szCs w:val="18"/>
              </w:rPr>
              <w:t>Strong correlation rules</w:t>
            </w:r>
          </w:p>
        </w:tc>
        <w:tc>
          <w:tcPr>
            <w:tcW w:w="2529" w:type="dxa"/>
            <w:tcBorders/>
            <w:vAlign w:val="center"/>
          </w:tcPr>
          <w:p>
            <w:pPr>
              <w:pStyle w:val="TableContents"/>
              <w:spacing w:before="0" w:after="200"/>
              <w:rPr>
                <w:sz w:val="18"/>
                <w:szCs w:val="18"/>
              </w:rPr>
            </w:pPr>
            <w:r>
              <w:rPr>
                <w:sz w:val="18"/>
                <w:szCs w:val="18"/>
              </w:rPr>
              <w:t>Strong rule-based detection, less advanced analytics</w:t>
            </w:r>
          </w:p>
        </w:tc>
      </w:tr>
      <w:tr>
        <w:trPr/>
        <w:tc>
          <w:tcPr>
            <w:tcW w:w="1988" w:type="dxa"/>
            <w:tcBorders/>
            <w:vAlign w:val="center"/>
          </w:tcPr>
          <w:p>
            <w:pPr>
              <w:pStyle w:val="TableContents"/>
              <w:widowControl w:val="false"/>
              <w:suppressLineNumbers/>
              <w:spacing w:before="0" w:after="200"/>
              <w:rPr/>
            </w:pPr>
            <w:r>
              <w:rPr>
                <w:rStyle w:val="Strong"/>
                <w:sz w:val="18"/>
                <w:szCs w:val="18"/>
              </w:rPr>
              <w:t>SOAR / automation</w:t>
            </w:r>
          </w:p>
        </w:tc>
        <w:tc>
          <w:tcPr>
            <w:tcW w:w="2233" w:type="dxa"/>
            <w:tcBorders/>
            <w:vAlign w:val="center"/>
          </w:tcPr>
          <w:p>
            <w:pPr>
              <w:pStyle w:val="TableContents"/>
              <w:spacing w:before="0" w:after="200"/>
              <w:rPr>
                <w:sz w:val="18"/>
                <w:szCs w:val="18"/>
              </w:rPr>
            </w:pPr>
            <w:r>
              <w:rPr>
                <w:sz w:val="18"/>
                <w:szCs w:val="18"/>
              </w:rPr>
              <w:t>Splunk SOAR</w:t>
            </w:r>
          </w:p>
        </w:tc>
        <w:tc>
          <w:tcPr>
            <w:tcW w:w="2145" w:type="dxa"/>
            <w:tcBorders/>
            <w:vAlign w:val="center"/>
          </w:tcPr>
          <w:p>
            <w:pPr>
              <w:pStyle w:val="TableContents"/>
              <w:spacing w:before="0" w:after="200"/>
              <w:rPr>
                <w:sz w:val="18"/>
                <w:szCs w:val="18"/>
              </w:rPr>
            </w:pPr>
            <w:r>
              <w:rPr>
                <w:sz w:val="18"/>
                <w:szCs w:val="18"/>
              </w:rPr>
              <w:t>Azure Logic Apps playbooks</w:t>
            </w:r>
          </w:p>
        </w:tc>
        <w:tc>
          <w:tcPr>
            <w:tcW w:w="2181" w:type="dxa"/>
            <w:tcBorders/>
            <w:vAlign w:val="center"/>
          </w:tcPr>
          <w:p>
            <w:pPr>
              <w:pStyle w:val="TableContents"/>
              <w:spacing w:before="0" w:after="200"/>
              <w:rPr>
                <w:sz w:val="18"/>
                <w:szCs w:val="18"/>
              </w:rPr>
            </w:pPr>
            <w:r>
              <w:rPr>
                <w:sz w:val="18"/>
                <w:szCs w:val="18"/>
              </w:rPr>
              <w:t>QRadar SOAR</w:t>
            </w:r>
          </w:p>
        </w:tc>
        <w:tc>
          <w:tcPr>
            <w:tcW w:w="2529" w:type="dxa"/>
            <w:tcBorders/>
            <w:vAlign w:val="center"/>
          </w:tcPr>
          <w:p>
            <w:pPr>
              <w:pStyle w:val="TableContents"/>
              <w:spacing w:before="0" w:after="200"/>
              <w:rPr>
                <w:sz w:val="18"/>
                <w:szCs w:val="18"/>
              </w:rPr>
            </w:pPr>
            <w:r>
              <w:rPr>
                <w:sz w:val="18"/>
                <w:szCs w:val="18"/>
              </w:rPr>
              <w:t>Active response + external integrations</w:t>
            </w:r>
          </w:p>
        </w:tc>
      </w:tr>
      <w:tr>
        <w:trPr/>
        <w:tc>
          <w:tcPr>
            <w:tcW w:w="1988" w:type="dxa"/>
            <w:tcBorders/>
            <w:vAlign w:val="center"/>
          </w:tcPr>
          <w:p>
            <w:pPr>
              <w:pStyle w:val="TableContents"/>
              <w:widowControl w:val="false"/>
              <w:suppressLineNumbers/>
              <w:spacing w:before="0" w:after="200"/>
              <w:rPr/>
            </w:pPr>
            <w:r>
              <w:rPr>
                <w:rStyle w:val="Strong"/>
                <w:sz w:val="18"/>
                <w:szCs w:val="18"/>
              </w:rPr>
              <w:t>Cloud-first suitability</w:t>
            </w:r>
          </w:p>
        </w:tc>
        <w:tc>
          <w:tcPr>
            <w:tcW w:w="2233" w:type="dxa"/>
            <w:tcBorders/>
            <w:vAlign w:val="center"/>
          </w:tcPr>
          <w:p>
            <w:pPr>
              <w:pStyle w:val="TableContents"/>
              <w:spacing w:before="0" w:after="200"/>
              <w:rPr>
                <w:sz w:val="18"/>
                <w:szCs w:val="18"/>
              </w:rPr>
            </w:pPr>
            <w:r>
              <w:rPr>
                <w:sz w:val="18"/>
                <w:szCs w:val="18"/>
              </w:rPr>
              <w:t>Possible but heavier</w:t>
            </w:r>
          </w:p>
        </w:tc>
        <w:tc>
          <w:tcPr>
            <w:tcW w:w="2145" w:type="dxa"/>
            <w:tcBorders/>
            <w:vAlign w:val="center"/>
          </w:tcPr>
          <w:p>
            <w:pPr>
              <w:pStyle w:val="TableContents"/>
              <w:spacing w:before="0" w:after="200"/>
              <w:rPr>
                <w:sz w:val="18"/>
                <w:szCs w:val="18"/>
              </w:rPr>
            </w:pPr>
            <w:r>
              <w:rPr>
                <w:sz w:val="18"/>
                <w:szCs w:val="18"/>
              </w:rPr>
              <w:t>Excellent</w:t>
            </w:r>
          </w:p>
        </w:tc>
        <w:tc>
          <w:tcPr>
            <w:tcW w:w="2181" w:type="dxa"/>
            <w:tcBorders/>
            <w:vAlign w:val="center"/>
          </w:tcPr>
          <w:p>
            <w:pPr>
              <w:pStyle w:val="TableContents"/>
              <w:spacing w:before="0" w:after="200"/>
              <w:rPr>
                <w:sz w:val="18"/>
                <w:szCs w:val="18"/>
              </w:rPr>
            </w:pPr>
            <w:r>
              <w:rPr>
                <w:sz w:val="18"/>
                <w:szCs w:val="18"/>
              </w:rPr>
              <w:t>Possible</w:t>
            </w:r>
          </w:p>
        </w:tc>
        <w:tc>
          <w:tcPr>
            <w:tcW w:w="2529" w:type="dxa"/>
            <w:tcBorders/>
            <w:vAlign w:val="center"/>
          </w:tcPr>
          <w:p>
            <w:pPr>
              <w:pStyle w:val="TableContents"/>
              <w:spacing w:before="0" w:after="200"/>
              <w:rPr>
                <w:sz w:val="18"/>
                <w:szCs w:val="18"/>
              </w:rPr>
            </w:pPr>
            <w:r>
              <w:rPr>
                <w:sz w:val="18"/>
                <w:szCs w:val="18"/>
              </w:rPr>
              <w:t>Possible but manual setup required</w:t>
            </w:r>
          </w:p>
        </w:tc>
      </w:tr>
      <w:tr>
        <w:trPr/>
        <w:tc>
          <w:tcPr>
            <w:tcW w:w="1988" w:type="dxa"/>
            <w:tcBorders/>
            <w:vAlign w:val="center"/>
          </w:tcPr>
          <w:p>
            <w:pPr>
              <w:pStyle w:val="TableContents"/>
              <w:widowControl w:val="false"/>
              <w:suppressLineNumbers/>
              <w:spacing w:before="0" w:after="200"/>
              <w:rPr/>
            </w:pPr>
            <w:r>
              <w:rPr>
                <w:rStyle w:val="Strong"/>
                <w:sz w:val="18"/>
                <w:szCs w:val="18"/>
              </w:rPr>
              <w:t>Cost model</w:t>
            </w:r>
          </w:p>
        </w:tc>
        <w:tc>
          <w:tcPr>
            <w:tcW w:w="2233" w:type="dxa"/>
            <w:tcBorders/>
            <w:vAlign w:val="center"/>
          </w:tcPr>
          <w:p>
            <w:pPr>
              <w:pStyle w:val="TableContents"/>
              <w:spacing w:before="0" w:after="200"/>
              <w:rPr>
                <w:sz w:val="18"/>
                <w:szCs w:val="18"/>
              </w:rPr>
            </w:pPr>
            <w:r>
              <w:rPr>
                <w:sz w:val="18"/>
                <w:szCs w:val="18"/>
              </w:rPr>
              <w:t>High ingestion licensing</w:t>
            </w:r>
          </w:p>
        </w:tc>
        <w:tc>
          <w:tcPr>
            <w:tcW w:w="2145" w:type="dxa"/>
            <w:tcBorders/>
            <w:vAlign w:val="center"/>
          </w:tcPr>
          <w:p>
            <w:pPr>
              <w:pStyle w:val="TableContents"/>
              <w:spacing w:before="0" w:after="200"/>
              <w:rPr>
                <w:sz w:val="18"/>
                <w:szCs w:val="18"/>
              </w:rPr>
            </w:pPr>
            <w:r>
              <w:rPr>
                <w:sz w:val="18"/>
                <w:szCs w:val="18"/>
              </w:rPr>
              <w:t>Consumption-based</w:t>
            </w:r>
          </w:p>
        </w:tc>
        <w:tc>
          <w:tcPr>
            <w:tcW w:w="2181" w:type="dxa"/>
            <w:tcBorders/>
            <w:vAlign w:val="center"/>
          </w:tcPr>
          <w:p>
            <w:pPr>
              <w:pStyle w:val="TableContents"/>
              <w:spacing w:before="0" w:after="200"/>
              <w:rPr>
                <w:sz w:val="18"/>
                <w:szCs w:val="18"/>
              </w:rPr>
            </w:pPr>
            <w:r>
              <w:rPr>
                <w:sz w:val="18"/>
                <w:szCs w:val="18"/>
              </w:rPr>
              <w:t>Enterprise pricing</w:t>
            </w:r>
          </w:p>
        </w:tc>
        <w:tc>
          <w:tcPr>
            <w:tcW w:w="2529" w:type="dxa"/>
            <w:tcBorders/>
            <w:vAlign w:val="center"/>
          </w:tcPr>
          <w:p>
            <w:pPr>
              <w:pStyle w:val="TableContents"/>
              <w:spacing w:before="0" w:after="200"/>
              <w:rPr>
                <w:sz w:val="18"/>
                <w:szCs w:val="18"/>
              </w:rPr>
            </w:pPr>
            <w:r>
              <w:rPr>
                <w:sz w:val="18"/>
                <w:szCs w:val="18"/>
              </w:rPr>
              <w:t>Open-source, no license cost</w:t>
            </w:r>
          </w:p>
        </w:tc>
      </w:tr>
    </w:tbl>
    <w:p>
      <w:pPr>
        <w:pStyle w:val="Normal"/>
        <w:rPr/>
      </w:pPr>
      <w:r>
        <w:rPr/>
      </w:r>
    </w:p>
    <w:p>
      <w:pPr>
        <w:pStyle w:val="Normal"/>
        <w:rPr/>
      </w:pPr>
      <w:r>
        <w:rPr/>
      </w:r>
    </w:p>
    <w:p>
      <w:pPr>
        <w:pStyle w:val="Normal"/>
        <w:rPr>
          <w:rFonts w:ascii="Georgia" w:hAnsi="Georgia" w:eastAsia="Georgia" w:cs="Georgia"/>
          <w:b/>
          <w:bCs/>
          <w:color w:val="2F5597"/>
          <w:sz w:val="30"/>
          <w:szCs w:val="30"/>
        </w:rPr>
      </w:pPr>
      <w:r>
        <w:rPr/>
      </w:r>
    </w:p>
    <w:p>
      <w:pPr>
        <w:pStyle w:val="Normal"/>
        <w:rPr>
          <w:rFonts w:ascii="Georgia" w:hAnsi="Georgia" w:eastAsia="Georgia" w:cs="Georgia"/>
          <w:b/>
          <w:bCs/>
          <w:color w:val="2F5597"/>
          <w:sz w:val="30"/>
          <w:szCs w:val="30"/>
        </w:rPr>
      </w:pPr>
      <w:r>
        <w:rPr/>
      </w:r>
    </w:p>
    <w:p>
      <w:pPr>
        <w:pStyle w:val="Heading1"/>
        <w:rPr>
          <w:sz w:val="26"/>
          <w:szCs w:val="26"/>
        </w:rPr>
      </w:pPr>
      <w:r>
        <w:rPr>
          <w:rFonts w:eastAsia="Georgia" w:cs="Georgia" w:ascii="Georgia" w:hAnsi="Georgia"/>
          <w:b/>
          <w:bCs/>
          <w:color w:val="2F5597"/>
          <w:sz w:val="26"/>
          <w:szCs w:val="26"/>
        </w:rPr>
        <w:t>Analysis of Comparison</w:t>
      </w:r>
    </w:p>
    <w:p>
      <w:pPr>
        <w:pStyle w:val="BodyText"/>
        <w:rPr>
          <w:sz w:val="20"/>
          <w:szCs w:val="20"/>
        </w:rPr>
      </w:pPr>
      <w:r>
        <w:rPr>
          <w:sz w:val="20"/>
          <w:szCs w:val="20"/>
        </w:rPr>
        <w:t>Splunk Enterprise Security offers the highest flexibility among the compared SIEM platforms, but it also requires strong engineering maturity, skilled administrators, and careful infrastructure planning. Microsoft Sentinel provides the easiest cloud-native deployment path, especially for organizations already invested in the Microsoft ecosystem, where integration with Azure and Microsoft 365 significantly reduces deployment complexity. IBM QRadar remains highly relevant in regulated sectors because of its structured correlation engine, mature compliance reporting, and enterprise-focused operational design. In contrast, Wazuh provides a highly accessible open-source alternative that emphasizes transparency, endpoint visibility, and practical SIEM learning without commercial licensing cost.</w:t>
      </w:r>
    </w:p>
    <w:p>
      <w:pPr>
        <w:pStyle w:val="BodyText"/>
        <w:rPr>
          <w:sz w:val="20"/>
          <w:szCs w:val="20"/>
        </w:rPr>
      </w:pPr>
      <w:r>
        <w:rPr>
          <w:sz w:val="20"/>
          <w:szCs w:val="20"/>
        </w:rPr>
        <w:t>The strongest differences between these platforms appear in operational style. Splunk favors advanced customization through deep search logic and highly flexible correlation design. Sentinel favors cloud-native efficiency by reducing infrastructure overhead and integrating directly with cloud-native telemetry sources. QRadar favors controlled enterprise governance through structured offense generation and formalized incident workflows. Wazuh favors practical modularity, where analysts gain direct control over rules, decoders, and agent-based monitoring, although this requires more manual tuning than commercial SIEM platforms.</w:t>
      </w:r>
    </w:p>
    <w:p>
      <w:pPr>
        <w:pStyle w:val="Normal"/>
        <w:rPr>
          <w:rFonts w:ascii="Georgia" w:hAnsi="Georgia" w:eastAsia="Georgia" w:cs="Georgia"/>
          <w:b/>
          <w:bCs/>
          <w:color w:val="2F5597"/>
        </w:rPr>
      </w:pPr>
      <w:r>
        <w:rPr>
          <w:sz w:val="20"/>
          <w:szCs w:val="20"/>
        </w:rPr>
      </w:r>
    </w:p>
    <w:p>
      <w:pPr>
        <w:pStyle w:val="Normal"/>
        <w:rPr>
          <w:rFonts w:ascii="Georgia" w:hAnsi="Georgia" w:eastAsia="Georgia" w:cs="Georgia"/>
          <w:b/>
          <w:bCs/>
          <w:color w:val="2F5597"/>
          <w:sz w:val="30"/>
          <w:szCs w:val="30"/>
        </w:rPr>
      </w:pPr>
      <w:r>
        <w:rPr/>
      </w:r>
    </w:p>
    <w:p>
      <w:pPr>
        <w:pStyle w:val="Heading1"/>
        <w:rPr>
          <w:sz w:val="26"/>
          <w:szCs w:val="26"/>
        </w:rPr>
      </w:pPr>
      <w:r>
        <w:rPr>
          <w:rFonts w:eastAsia="Georgia" w:cs="Georgia" w:ascii="Georgia" w:hAnsi="Georgia"/>
          <w:b/>
          <w:bCs/>
          <w:color w:val="2F5597"/>
          <w:sz w:val="26"/>
          <w:szCs w:val="26"/>
        </w:rPr>
        <w:t>5. SOC Workflow Perspectives</w:t>
      </w:r>
    </w:p>
    <w:p>
      <w:pPr>
        <w:pStyle w:val="Heading2"/>
        <w:rPr>
          <w:sz w:val="20"/>
          <w:szCs w:val="20"/>
        </w:rPr>
      </w:pPr>
      <w:r>
        <w:rPr>
          <w:sz w:val="20"/>
          <w:szCs w:val="20"/>
        </w:rPr>
        <w:t>SOC Maturity Fit</w:t>
      </w:r>
    </w:p>
    <w:p>
      <w:pPr>
        <w:pStyle w:val="BodyText"/>
        <w:rPr>
          <w:sz w:val="20"/>
          <w:szCs w:val="20"/>
        </w:rPr>
      </w:pPr>
      <w:r>
        <w:rPr>
          <w:sz w:val="20"/>
          <w:szCs w:val="20"/>
        </w:rPr>
        <w:t>For small or medium SOC environments, both Microsoft Sentinel and Wazuh can be practical options, but for different reasons. Sentinel is often easier when cloud services are already in use because deployment is fast and infrastructure overhead is low. Wazuh is attractive where budget constraints exist, since it provides SIEM capability without licensing cost and allows teams to build SOC knowledge directly through hands-on configuration.</w:t>
      </w:r>
    </w:p>
    <w:p>
      <w:pPr>
        <w:pStyle w:val="BodyText"/>
        <w:rPr>
          <w:sz w:val="20"/>
          <w:szCs w:val="20"/>
        </w:rPr>
      </w:pPr>
      <w:r>
        <w:rPr>
          <w:sz w:val="20"/>
          <w:szCs w:val="20"/>
        </w:rPr>
        <w:t>For mature enterprise SOC environments, Splunk Enterprise Security and IBM QRadar provide stronger long-term customization, scalability, and enterprise control. These platforms are better suited to organizations requiring large-scale correlation, dedicated security engineering, and formal operational processes.</w:t>
      </w:r>
    </w:p>
    <w:p>
      <w:pPr>
        <w:pStyle w:val="Heading2"/>
        <w:rPr>
          <w:sz w:val="20"/>
          <w:szCs w:val="20"/>
        </w:rPr>
      </w:pPr>
      <w:r>
        <w:rPr>
          <w:sz w:val="20"/>
          <w:szCs w:val="20"/>
        </w:rPr>
        <w:t>Incident Detection and Triage</w:t>
      </w:r>
    </w:p>
    <w:p>
      <w:pPr>
        <w:pStyle w:val="BodyText"/>
        <w:rPr>
          <w:sz w:val="20"/>
          <w:szCs w:val="20"/>
        </w:rPr>
      </w:pPr>
      <w:r>
        <w:rPr>
          <w:sz w:val="20"/>
          <w:szCs w:val="20"/>
        </w:rPr>
        <w:t>Each platform supports incident detection differently. Splunk offers advanced search capability and flexible correlation logic that allows highly customized alert generation. Sentinel provides rapid cloud-native detections through built-in analytics and machine learning rules. QRadar uses offense-based structured triage, grouping related events into investigation-ready incidents. Wazuh relies on rule-based alert generation using decoders and correlation rules, making it highly transparent and useful for understanding alert logic directly.</w:t>
      </w:r>
    </w:p>
    <w:p>
      <w:pPr>
        <w:pStyle w:val="Heading2"/>
        <w:rPr>
          <w:sz w:val="20"/>
          <w:szCs w:val="20"/>
        </w:rPr>
      </w:pPr>
      <w:r>
        <w:rPr>
          <w:sz w:val="20"/>
          <w:szCs w:val="20"/>
        </w:rPr>
        <w:t>Threat Hunting</w:t>
      </w:r>
    </w:p>
    <w:p>
      <w:pPr>
        <w:pStyle w:val="BodyText"/>
        <w:rPr>
          <w:sz w:val="20"/>
          <w:szCs w:val="20"/>
        </w:rPr>
      </w:pPr>
      <w:r>
        <w:rPr>
          <w:sz w:val="20"/>
          <w:szCs w:val="20"/>
        </w:rPr>
        <w:t>Splunk remains strongest for deep threat hunting because SPL allows analysts to build highly customized investigations across large datasets. Sentinel also supports strong hunting through KQL, particularly in cloud-centric environments. Wazuh supports practical threat hunting through indexed alerts and event filtering, although it does not provide the same advanced analytics depth found in enterprise SIEM platforms.</w:t>
      </w:r>
    </w:p>
    <w:p>
      <w:pPr>
        <w:pStyle w:val="Heading2"/>
        <w:rPr>
          <w:sz w:val="20"/>
          <w:szCs w:val="20"/>
        </w:rPr>
      </w:pPr>
      <w:r>
        <w:rPr>
          <w:sz w:val="20"/>
          <w:szCs w:val="20"/>
        </w:rPr>
        <w:t>Compliance and Reporting</w:t>
      </w:r>
    </w:p>
    <w:p>
      <w:pPr>
        <w:pStyle w:val="BodyText"/>
        <w:rPr>
          <w:sz w:val="20"/>
          <w:szCs w:val="20"/>
        </w:rPr>
      </w:pPr>
      <w:r>
        <w:rPr>
          <w:sz w:val="20"/>
          <w:szCs w:val="20"/>
        </w:rPr>
        <w:t>QRadar is especially strong in regulated sectors because of mature reporting capabilities and structured compliance workflows. Splunk also supports strong compliance reporting when properly configured. Wazuh provides useful compliance monitoring features such as file integrity monitoring, vulnerability detection, and configuration auditing, which are particularly valuable for baseline security monitoring.</w:t>
      </w:r>
    </w:p>
    <w:p>
      <w:pPr>
        <w:pStyle w:val="Heading2"/>
        <w:rPr>
          <w:sz w:val="20"/>
          <w:szCs w:val="20"/>
        </w:rPr>
      </w:pPr>
      <w:r>
        <w:rPr>
          <w:sz w:val="20"/>
          <w:szCs w:val="20"/>
        </w:rPr>
        <w:t>Automation and Runbook Execution</w:t>
      </w:r>
    </w:p>
    <w:p>
      <w:pPr>
        <w:pStyle w:val="BodyText"/>
        <w:rPr>
          <w:sz w:val="20"/>
          <w:szCs w:val="20"/>
        </w:rPr>
      </w:pPr>
      <w:r>
        <w:rPr>
          <w:sz w:val="20"/>
          <w:szCs w:val="20"/>
        </w:rPr>
        <w:t>Sentinel and Splunk provide stronger modern automation flexibility through built-in orchestration platforms such as Azure Logic Apps and Splunk SOAR. QRadar offers structured enterprise response workflows through QRadar SOAR. Wazuh supports active response actions such as blocking IP addresses, terminating processes, and integrating with external tools, but its automation depth depends more heavily on manual integration design.</w:t>
      </w:r>
    </w:p>
    <w:p>
      <w:pPr>
        <w:pStyle w:val="Heading2"/>
        <w:rPr>
          <w:rFonts w:ascii="Georgia" w:hAnsi="Georgia" w:eastAsia="Georgia" w:cs="Georgia"/>
          <w:b/>
          <w:bCs/>
          <w:color w:val="2F5597"/>
        </w:rPr>
      </w:pPr>
      <w:r>
        <w:rPr>
          <w:sz w:val="20"/>
          <w:szCs w:val="20"/>
        </w:rPr>
      </w:r>
    </w:p>
    <w:p>
      <w:pPr>
        <w:pStyle w:val="Normal"/>
        <w:rPr>
          <w:rFonts w:ascii="Georgia" w:hAnsi="Georgia" w:eastAsia="Georgia" w:cs="Georgia"/>
          <w:b/>
          <w:bCs/>
          <w:color w:val="2F5597"/>
          <w:sz w:val="30"/>
          <w:szCs w:val="30"/>
        </w:rPr>
      </w:pPr>
      <w:r>
        <w:rPr/>
      </w:r>
    </w:p>
    <w:p>
      <w:pPr>
        <w:pStyle w:val="Heading1"/>
        <w:rPr>
          <w:sz w:val="26"/>
          <w:szCs w:val="26"/>
        </w:rPr>
      </w:pPr>
      <w:r>
        <w:rPr>
          <w:rFonts w:eastAsia="Georgia" w:cs="Georgia" w:ascii="Georgia" w:hAnsi="Georgia"/>
          <w:b/>
          <w:bCs/>
          <w:color w:val="2F5597"/>
          <w:sz w:val="26"/>
          <w:szCs w:val="26"/>
        </w:rPr>
        <w:t>Summary and Recommendations</w:t>
      </w:r>
    </w:p>
    <w:p>
      <w:pPr>
        <w:pStyle w:val="BodyText"/>
        <w:rPr>
          <w:sz w:val="20"/>
          <w:szCs w:val="20"/>
        </w:rPr>
      </w:pPr>
      <w:r>
        <w:rPr>
          <w:sz w:val="20"/>
          <w:szCs w:val="20"/>
        </w:rPr>
        <w:t>For small and medium SOC environments, Wazuh is often the most cost-effective choice because it removes licensing barriers and provides strong learning value. Microsoft Sentinel is also highly accessible when cloud services are already present.</w:t>
      </w:r>
    </w:p>
    <w:p>
      <w:pPr>
        <w:pStyle w:val="BodyText"/>
        <w:rPr>
          <w:sz w:val="20"/>
          <w:szCs w:val="20"/>
        </w:rPr>
      </w:pPr>
      <w:r>
        <w:rPr>
          <w:sz w:val="20"/>
          <w:szCs w:val="20"/>
        </w:rPr>
        <w:t>For large enterprise environments, Splunk Enterprise Security provides the highest flexibility, strongest custom analytics capability, and broad integration support.</w:t>
      </w:r>
    </w:p>
    <w:p>
      <w:pPr>
        <w:pStyle w:val="BodyText"/>
        <w:rPr>
          <w:sz w:val="20"/>
          <w:szCs w:val="20"/>
        </w:rPr>
      </w:pPr>
      <w:r>
        <w:rPr>
          <w:sz w:val="20"/>
          <w:szCs w:val="20"/>
        </w:rPr>
        <w:t>For cloud-first and Azure-centric organizations, Microsoft Sentinel remains the strongest fit because of its native integration with Azure and Microsoft 365 services.</w:t>
      </w:r>
    </w:p>
    <w:p>
      <w:pPr>
        <w:pStyle w:val="BodyText"/>
        <w:rPr>
          <w:sz w:val="20"/>
          <w:szCs w:val="20"/>
        </w:rPr>
      </w:pPr>
      <w:r>
        <w:rPr>
          <w:sz w:val="20"/>
          <w:szCs w:val="20"/>
        </w:rPr>
        <w:t>For highly regulated industries such as finance, healthcare, and critical infrastructure, IBM QRadar remains highly suitable because of its mature compliance reporting and enterprise governance design.</w:t>
      </w:r>
    </w:p>
    <w:p>
      <w:pPr>
        <w:pStyle w:val="BodyText"/>
        <w:rPr>
          <w:sz w:val="20"/>
          <w:szCs w:val="20"/>
        </w:rPr>
      </w:pPr>
      <w:r>
        <w:rPr>
          <w:sz w:val="20"/>
          <w:szCs w:val="20"/>
        </w:rPr>
        <w:t>An important final consideration is that SIEM selection depends heavily on existing infrastructure, analyst skill level, budget, cloud strategy, and compliance obligations. No SIEM platform is universally best. Wazuh may be ideal for learning, open environments, and budget-sensitive SOC operations, while enterprise tools remain stronger where scale, advanced analytics, and formal governance are critical.</w:t>
      </w:r>
    </w:p>
    <w:p>
      <w:pPr>
        <w:pStyle w:val="Normal"/>
        <w:spacing w:before="0" w:after="200"/>
        <w:rPr>
          <w:rFonts w:ascii="Georgia" w:hAnsi="Georgia" w:eastAsia="Georgia" w:cs="Georgia"/>
          <w:sz w:val="24"/>
          <w:szCs w:val="24"/>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6"/>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360" w:before="0" w:after="200"/>
      <w:jc w:val="start"/>
    </w:pPr>
    <w:rPr>
      <w:rFonts w:ascii="Georgia" w:hAnsi="Georgia" w:eastAsia="Georgia" w:cs="Georgia"/>
      <w:color w:val="auto"/>
      <w:kern w:val="0"/>
      <w:sz w:val="24"/>
      <w:szCs w:val="24"/>
      <w:lang w:val="en-US" w:eastAsia="zh-CN" w:bidi="hi-IN"/>
    </w:rPr>
  </w:style>
  <w:style w:type="paragraph" w:styleId="Heading1">
    <w:name w:val="Heading 1"/>
    <w:basedOn w:val="Heading"/>
    <w:qFormat/>
    <w:pPr>
      <w:spacing w:before="480" w:after="240"/>
    </w:pPr>
    <w:rPr>
      <w:rFonts w:ascii="Segoe UI" w:hAnsi="Segoe UI" w:eastAsia="Segoe UI" w:cs="Segoe UI"/>
      <w:b/>
      <w:bCs/>
      <w:color w:val="1A365D"/>
      <w:sz w:val="40"/>
      <w:szCs w:val="40"/>
    </w:rPr>
  </w:style>
  <w:style w:type="paragraph" w:styleId="Heading2">
    <w:name w:val="Heading 2"/>
    <w:basedOn w:val="Heading"/>
    <w:qFormat/>
    <w:pPr>
      <w:spacing w:before="360" w:after="200"/>
    </w:pPr>
    <w:rPr>
      <w:rFonts w:ascii="Segoe UI" w:hAnsi="Segoe UI" w:eastAsia="Segoe UI" w:cs="Segoe UI"/>
      <w:b/>
      <w:bCs/>
      <w:color w:val="2C5282"/>
      <w:sz w:val="34"/>
      <w:szCs w:val="34"/>
    </w:rPr>
  </w:style>
  <w:style w:type="paragraph" w:styleId="Heading3">
    <w:name w:val="Heading 3"/>
    <w:basedOn w:val="Heading"/>
    <w:qFormat/>
    <w:pPr>
      <w:spacing w:before="280" w:after="160"/>
    </w:pPr>
    <w:rPr>
      <w:rFonts w:ascii="Segoe UI" w:hAnsi="Segoe UI" w:eastAsia="Segoe UI" w:cs="Segoe UI"/>
      <w:b/>
      <w:bCs/>
      <w:color w:val="2D3748"/>
      <w:sz w:val="30"/>
      <w:szCs w:val="30"/>
    </w:rPr>
  </w:style>
  <w:style w:type="paragraph" w:styleId="Heading4">
    <w:name w:val="Heading 4"/>
    <w:basedOn w:val="Heading"/>
    <w:qFormat/>
    <w:pPr>
      <w:spacing w:before="240" w:after="120"/>
    </w:pPr>
    <w:rPr>
      <w:rFonts w:ascii="Segoe UI" w:hAnsi="Segoe UI" w:eastAsia="Segoe UI" w:cs="Segoe UI"/>
      <w:b/>
      <w:bCs/>
      <w:color w:val="2D3748"/>
      <w:sz w:val="26"/>
      <w:szCs w:val="26"/>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lineRule="exact" w:line="360" w:before="0" w:after="200"/>
      <w:jc w:val="start"/>
    </w:pPr>
    <w:rPr>
      <w:rFonts w:ascii="Georgia" w:hAnsi="Georgia" w:eastAsia="Georgia" w:cs="Georgia"/>
      <w:b/>
      <w:bCs/>
      <w:color w:val="auto"/>
      <w:kern w:val="0"/>
      <w:sz w:val="24"/>
      <w:szCs w:val="24"/>
      <w:lang w:val="en-US" w:eastAsia="zh-CN" w:bidi="hi-IN"/>
    </w:rPr>
  </w:style>
  <w:style w:type="paragraph" w:styleId="ListParagraph">
    <w:name w:val="List Paragraph"/>
    <w:qFormat/>
    <w:pPr>
      <w:widowControl/>
      <w:bidi w:val="0"/>
      <w:spacing w:lineRule="exact" w:line="360" w:before="0" w:after="200"/>
      <w:jc w:val="start"/>
    </w:pPr>
    <w:rPr>
      <w:rFonts w:ascii="Georgia" w:hAnsi="Georgia" w:eastAsia="Georgia" w:cs="Georgia"/>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Quote">
    <w:name w:val="Quote"/>
    <w:qFormat/>
    <w:pPr>
      <w:widowControl/>
      <w:bidi w:val="0"/>
      <w:spacing w:lineRule="exact" w:line="360" w:before="240" w:after="240"/>
      <w:ind w:start="720"/>
      <w:jc w:val="start"/>
    </w:pPr>
    <w:rPr>
      <w:rFonts w:ascii="Georgia" w:hAnsi="Georgia" w:eastAsia="Georgia" w:cs="Georgia"/>
      <w:i/>
      <w:iCs/>
      <w:color w:val="4A5568"/>
      <w:kern w:val="0"/>
      <w:sz w:val="24"/>
      <w:szCs w:val="24"/>
      <w:lang w:val="en-US" w:eastAsia="zh-CN" w:bidi="hi-IN"/>
    </w:rPr>
  </w:style>
  <w:style w:type="paragraph" w:styleId="Code">
    <w:name w:val="Code"/>
    <w:qFormat/>
    <w:pPr>
      <w:widowControl/>
      <w:bidi w:val="0"/>
      <w:spacing w:before="240" w:after="240" w:lineRule="exact" w:line="360"/>
      <w:ind w:start="360"/>
      <w:jc w:val="start"/>
    </w:pPr>
    <w:rPr>
      <w:rFonts w:ascii="Consolas" w:hAnsi="Consolas" w:eastAsia="Consolas" w:cs="Consolas"/>
      <w:color w:val="1A202C"/>
      <w:kern w:val="0"/>
      <w:sz w:val="22"/>
      <w:szCs w:val="22"/>
      <w:lang w:val="en-US" w:eastAsia="zh-CN" w:bidi="hi-IN"/>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LibreOffice/24.2.7.2$Linux_X86_64 LibreOffice_project/420$Build-2</Application>
  <AppVersion>15.0000</AppVersion>
  <Pages>8</Pages>
  <Words>2302</Words>
  <Characters>15489</Characters>
  <CharactersWithSpaces>17677</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2026-04-03T04:48:00Z</dcterms:created>
  <dc:creator>Markdown to Word Converter</dc:creator>
  <dc:description>Document created with Markdown to Word Converter</dc:description>
  <dc:language>en-US</dc:language>
  <cp:lastModifiedBy/>
  <dcterms:modified xsi:type="dcterms:W3CDTF">2026-04-03T11:34:59Z</dcterms:modified>
  <cp:revision>2</cp:revision>
  <dc:subject/>
  <dc:title>Markdown Document</dc:title>
</cp:coreProperties>
</file>