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before="0" w:after="120"/>
        <w:jc w:val="center"/>
        <w:rPr>
          <w:sz w:val="30"/>
          <w:szCs w:val="30"/>
        </w:rPr>
      </w:pPr>
      <w:r>
        <w:rPr>
          <w:rFonts w:eastAsia="Arial" w:cs="Arial" w:ascii="Arial" w:hAnsi="Arial"/>
          <w:b/>
          <w:bCs/>
          <w:color w:val="1F3864"/>
          <w:sz w:val="30"/>
          <w:szCs w:val="30"/>
        </w:rPr>
        <w:t>Understanding Incident Workflows</w:t>
      </w:r>
    </w:p>
    <w:p>
      <w:pPr>
        <w:pStyle w:val="Normal"/>
        <w:pBdr>
          <w:bottom w:val="single" w:sz="12" w:space="20" w:color="C00000"/>
        </w:pBdr>
        <w:bidi w:val="0"/>
        <w:spacing w:before="0" w:after="400"/>
        <w:jc w:val="center"/>
        <w:rPr/>
      </w:pPr>
      <w:r>
        <w:rPr>
          <w:rFonts w:eastAsia="Arial" w:cs="Arial" w:ascii="Arial" w:hAnsi="Arial"/>
          <w:i/>
          <w:iCs/>
          <w:color w:val="2E75B6"/>
          <w:sz w:val="32"/>
          <w:szCs w:val="32"/>
        </w:rPr>
        <w:t>Research Report</w:t>
      </w:r>
    </w:p>
    <w:p>
      <w:pPr>
        <w:pStyle w:val="BodyText"/>
        <w:bidi w:val="0"/>
        <w:ind w:hanging="0" w:start="0" w:end="0"/>
        <w:jc w:val="start"/>
        <w:rPr/>
      </w:pPr>
      <w:r>
        <w:rPr>
          <w:rFonts w:eastAsia="Arial" w:cs="Arial" w:ascii="Arial" w:hAnsi="Arial"/>
          <w:b/>
          <w:bCs/>
          <w:color w:val="1F3864"/>
          <w:sz w:val="22"/>
          <w:szCs w:val="22"/>
        </w:rPr>
        <w:t>Author: Vineeth M</w:t>
      </w:r>
    </w:p>
    <w:p>
      <w:pPr>
        <w:pStyle w:val="BodyText"/>
        <w:bidi w:val="0"/>
        <w:ind w:hanging="0" w:start="0" w:end="0"/>
        <w:jc w:val="start"/>
        <w:rPr/>
      </w:pPr>
      <w:r>
        <w:rPr>
          <w:rFonts w:eastAsia="Arial" w:cs="Arial" w:ascii="Arial" w:hAnsi="Arial"/>
          <w:b/>
          <w:bCs/>
          <w:color w:val="1F3864"/>
          <w:sz w:val="22"/>
          <w:szCs w:val="22"/>
        </w:rPr>
        <w:t>Date: 01-03-2026</w:t>
      </w:r>
    </w:p>
    <w:p>
      <w:pPr>
        <w:pStyle w:val="BodyText"/>
        <w:bidi w:val="0"/>
        <w:ind w:hanging="0" w:start="0" w:end="0"/>
        <w:jc w:val="start"/>
        <w:rPr>
          <w:rFonts w:ascii="Arial" w:hAnsi="Arial" w:eastAsia="Arial" w:cs="Arial"/>
          <w:b/>
          <w:bCs/>
          <w:color w:val="1F3864"/>
          <w:sz w:val="22"/>
          <w:szCs w:val="22"/>
        </w:rPr>
      </w:pPr>
      <w:r>
        <w:rPr>
          <w:rFonts w:eastAsia="Arial" w:cs="Arial" w:ascii="Arial" w:hAnsi="Arial"/>
          <w:b/>
          <w:bCs/>
          <w:color w:val="1F3864"/>
          <w:sz w:val="22"/>
          <w:szCs w:val="22"/>
        </w:rPr>
      </w:r>
    </w:p>
    <w:p>
      <w:pPr>
        <w:pStyle w:val="BodyText"/>
        <w:bidi w:val="0"/>
        <w:ind w:hanging="0" w:start="0" w:end="0"/>
        <w:jc w:val="start"/>
        <w:rPr>
          <w:rFonts w:ascii="Arial" w:hAnsi="Arial" w:eastAsia="Arial" w:cs="Arial"/>
          <w:b/>
          <w:bCs/>
          <w:color w:val="1F3864"/>
          <w:sz w:val="22"/>
          <w:szCs w:val="22"/>
        </w:rPr>
      </w:pPr>
      <w:r>
        <w:rPr>
          <w:rFonts w:eastAsia="Arial" w:cs="Arial" w:ascii="Arial" w:hAnsi="Arial"/>
          <w:b/>
          <w:bCs/>
          <w:color w:val="1F3864"/>
          <w:sz w:val="22"/>
          <w:szCs w:val="22"/>
        </w:rPr>
      </w:r>
    </w:p>
    <w:p>
      <w:pPr>
        <w:pStyle w:val="BodyText"/>
        <w:bidi w:val="0"/>
        <w:spacing w:before="0" w:after="140"/>
        <w:ind w:hanging="0" w:start="0" w:end="0"/>
        <w:jc w:val="start"/>
        <w:rPr>
          <w:rFonts w:ascii="Arial" w:hAnsi="Arial" w:eastAsia="Arial" w:cs="Arial"/>
          <w:b/>
          <w:bCs/>
          <w:color w:val="1F3864"/>
          <w:sz w:val="22"/>
          <w:szCs w:val="22"/>
        </w:rPr>
      </w:pPr>
      <w:r>
        <w:rPr>
          <w:rFonts w:eastAsia="Arial" w:cs="Arial" w:ascii="Arial" w:hAnsi="Arial"/>
          <w:b/>
          <w:bCs/>
          <w:color w:val="1F3864"/>
          <w:sz w:val="22"/>
          <w:szCs w:val="22"/>
        </w:rPr>
      </w:r>
    </w:p>
    <w:p>
      <w:pPr>
        <w:pStyle w:val="Heading2"/>
        <w:bidi w:val="0"/>
        <w:spacing w:before="0" w:after="140"/>
        <w:ind w:hanging="0" w:start="0" w:end="0"/>
        <w:jc w:val="start"/>
        <w:rPr>
          <w:rStyle w:val="Strong"/>
          <w:sz w:val="28"/>
          <w:szCs w:val="28"/>
        </w:rPr>
      </w:pPr>
      <w:r>
        <w:rPr>
          <w:rFonts w:eastAsia="Arial" w:cs="Arial" w:ascii="Arial" w:hAnsi="Arial"/>
          <w:b/>
          <w:bCs/>
          <w:color w:val="1F3864"/>
          <w:sz w:val="22"/>
          <w:szCs w:val="22"/>
        </w:rPr>
      </w:r>
    </w:p>
    <w:p>
      <w:pPr>
        <w:pStyle w:val="Heading1"/>
        <w:pBdr>
          <w:bottom w:val="single" w:sz="8" w:space="6" w:color="2E75B6"/>
        </w:pBdr>
        <w:bidi w:val="0"/>
        <w:spacing w:before="0" w:after="200"/>
        <w:jc w:val="start"/>
        <w:rPr/>
      </w:pPr>
      <w:r>
        <w:rPr>
          <w:rStyle w:val="Strong"/>
          <w:rFonts w:eastAsia="Arial" w:cs="Arial" w:ascii="Arial" w:hAnsi="Arial"/>
          <w:b/>
          <w:bCs/>
          <w:color w:val="1F3864"/>
          <w:sz w:val="28"/>
          <w:szCs w:val="28"/>
        </w:rPr>
        <w:t>SOC Incident Workflow: From Alert to Resolution</w:t>
      </w:r>
    </w:p>
    <w:p>
      <w:pPr>
        <w:pStyle w:val="BodyText"/>
        <w:bidi w:val="0"/>
        <w:spacing w:before="0" w:after="140"/>
        <w:ind w:hanging="0" w:start="0" w:end="0"/>
        <w:jc w:val="start"/>
        <w:rPr>
          <w:rStyle w:val="Strong"/>
          <w:sz w:val="12"/>
          <w:szCs w:val="12"/>
        </w:rPr>
      </w:pPr>
      <w:r>
        <w:rPr>
          <w:rFonts w:eastAsia="Arial" w:cs="Arial" w:ascii="Arial" w:hAnsi="Arial"/>
          <w:b/>
          <w:bCs/>
          <w:color w:val="1F3864"/>
          <w:sz w:val="22"/>
          <w:szCs w:val="22"/>
        </w:rPr>
      </w:r>
    </w:p>
    <w:p>
      <w:pPr>
        <w:pStyle w:val="BodyText"/>
        <w:rPr>
          <w:i/>
          <w:i/>
          <w:iCs/>
          <w:sz w:val="22"/>
          <w:szCs w:val="22"/>
        </w:rPr>
      </w:pPr>
      <w:r>
        <w:rPr>
          <w:i/>
          <w:iCs/>
          <w:sz w:val="22"/>
          <w:szCs w:val="22"/>
        </w:rPr>
        <w:t>In a Security Operations Center (SOC), incident handling follows a structured workflow that helps analysts manage security alerts efficiently and consistently. While incident response frameworks provide overall guidance, the SOC workflow represents how security teams handle alerts in day-to-day operations — moving an event from automated detection to confirmed resolution.</w:t>
      </w:r>
    </w:p>
    <w:p>
      <w:pPr>
        <w:pStyle w:val="BodyText"/>
        <w:rPr>
          <w:rStyle w:val="Strong"/>
        </w:rPr>
      </w:pPr>
      <w:r>
        <w:rPr/>
      </w:r>
    </w:p>
    <w:p>
      <w:pPr>
        <w:pStyle w:val="Heading2"/>
        <w:bidi w:val="0"/>
        <w:spacing w:before="300" w:after="160"/>
        <w:jc w:val="start"/>
        <w:rPr/>
      </w:pPr>
      <w:r>
        <w:rPr>
          <w:rStyle w:val="Strong"/>
          <w:rFonts w:eastAsia="Arial" w:cs="Arial" w:ascii="Arial" w:hAnsi="Arial"/>
          <w:b/>
          <w:bCs/>
          <w:color w:val="2E75B6"/>
          <w:sz w:val="24"/>
          <w:szCs w:val="24"/>
        </w:rPr>
        <w:t>1. Alert Intake and Log Correlation</w:t>
      </w:r>
    </w:p>
    <w:p>
      <w:pPr>
        <w:pStyle w:val="BodyText"/>
        <w:rPr>
          <w:i/>
          <w:i/>
          <w:iCs/>
          <w:sz w:val="22"/>
          <w:szCs w:val="22"/>
        </w:rPr>
      </w:pPr>
      <w:r>
        <w:rPr>
          <w:i/>
          <w:iCs/>
          <w:sz w:val="22"/>
          <w:szCs w:val="22"/>
        </w:rPr>
        <w:t>The workflow begins with continuous monitoring. Security tools across the organization — such as firewalls, endpoints, servers, and applications — generate logs that are collected by a Security Information and Event Management (SIEM) platform.</w:t>
      </w:r>
    </w:p>
    <w:p>
      <w:pPr>
        <w:pStyle w:val="BodyText"/>
        <w:rPr>
          <w:i/>
          <w:i/>
          <w:iCs/>
          <w:sz w:val="22"/>
          <w:szCs w:val="22"/>
        </w:rPr>
      </w:pPr>
      <w:r>
        <w:rPr>
          <w:i/>
          <w:iCs/>
          <w:sz w:val="22"/>
          <w:szCs w:val="22"/>
        </w:rPr>
        <w:t>The SIEM analyzes this data and correlates related events to identify suspicious behavior. For example, multiple failed login attempts followed by a successful login may trigger a brute-force alert. Once predefined detection rules are matched, the system generates a security alert for investigation.</w:t>
      </w:r>
    </w:p>
    <w:p>
      <w:pPr>
        <w:pStyle w:val="Heading3"/>
        <w:rPr>
          <w:rStyle w:val="Strong"/>
          <w:i/>
          <w:i/>
          <w:iCs/>
          <w:sz w:val="22"/>
          <w:szCs w:val="22"/>
        </w:rPr>
      </w:pPr>
      <w:r>
        <w:rPr/>
      </w:r>
    </w:p>
    <w:p>
      <w:pPr>
        <w:pStyle w:val="Heading2"/>
        <w:bidi w:val="0"/>
        <w:spacing w:before="300" w:after="160"/>
        <w:jc w:val="start"/>
        <w:rPr/>
      </w:pPr>
      <w:r>
        <w:rPr>
          <w:rStyle w:val="Strong"/>
          <w:rFonts w:eastAsia="Arial" w:cs="Arial" w:ascii="Arial" w:hAnsi="Arial"/>
          <w:b/>
          <w:bCs/>
          <w:color w:val="2E75B6"/>
          <w:sz w:val="24"/>
          <w:szCs w:val="24"/>
        </w:rPr>
        <w:t>2. Ticket Creation and Alert Enrichment</w:t>
      </w:r>
    </w:p>
    <w:p>
      <w:pPr>
        <w:pStyle w:val="BodyText"/>
        <w:rPr>
          <w:b w:val="false"/>
          <w:bCs w:val="false"/>
          <w:i/>
          <w:i/>
          <w:iCs/>
          <w:sz w:val="22"/>
          <w:szCs w:val="22"/>
        </w:rPr>
      </w:pPr>
      <w:r>
        <w:rPr>
          <w:b w:val="false"/>
          <w:bCs w:val="false"/>
          <w:i/>
          <w:iCs/>
          <w:sz w:val="22"/>
          <w:szCs w:val="22"/>
        </w:rPr>
        <w:t>After an alert is generated, a ticket is automatically created in the organization’s ticketing or case management system. Before analysts begin their investigation, the alert is enriched with additional contextual information such as:</w:t>
      </w:r>
    </w:p>
    <w:p>
      <w:pPr>
        <w:pStyle w:val="BodyText"/>
        <w:numPr>
          <w:ilvl w:val="0"/>
          <w:numId w:val="1"/>
        </w:numPr>
        <w:tabs>
          <w:tab w:val="clear" w:pos="709"/>
          <w:tab w:val="left" w:pos="0" w:leader="none"/>
        </w:tabs>
        <w:ind w:hanging="283" w:start="709"/>
        <w:rPr>
          <w:b w:val="false"/>
          <w:bCs w:val="false"/>
          <w:i/>
          <w:i/>
          <w:iCs/>
          <w:sz w:val="22"/>
          <w:szCs w:val="22"/>
        </w:rPr>
      </w:pPr>
      <w:r>
        <w:rPr>
          <w:b w:val="false"/>
          <w:bCs w:val="false"/>
          <w:i/>
          <w:iCs/>
          <w:sz w:val="22"/>
          <w:szCs w:val="22"/>
        </w:rPr>
        <w:t>User and asset details</w:t>
      </w:r>
    </w:p>
    <w:p>
      <w:pPr>
        <w:pStyle w:val="BodyText"/>
        <w:numPr>
          <w:ilvl w:val="0"/>
          <w:numId w:val="1"/>
        </w:numPr>
        <w:tabs>
          <w:tab w:val="clear" w:pos="709"/>
          <w:tab w:val="left" w:pos="0" w:leader="none"/>
        </w:tabs>
        <w:ind w:hanging="283" w:start="709"/>
        <w:rPr>
          <w:b w:val="false"/>
          <w:bCs w:val="false"/>
          <w:i/>
          <w:i/>
          <w:iCs/>
          <w:sz w:val="22"/>
          <w:szCs w:val="22"/>
        </w:rPr>
      </w:pPr>
      <w:r>
        <w:rPr>
          <w:b w:val="false"/>
          <w:bCs w:val="false"/>
          <w:i/>
          <w:iCs/>
          <w:sz w:val="22"/>
          <w:szCs w:val="22"/>
        </w:rPr>
        <w:t>Device location or ownership</w:t>
      </w:r>
    </w:p>
    <w:p>
      <w:pPr>
        <w:pStyle w:val="BodyText"/>
        <w:numPr>
          <w:ilvl w:val="0"/>
          <w:numId w:val="1"/>
        </w:numPr>
        <w:tabs>
          <w:tab w:val="clear" w:pos="709"/>
          <w:tab w:val="left" w:pos="0" w:leader="none"/>
        </w:tabs>
        <w:ind w:hanging="283" w:start="709"/>
        <w:rPr>
          <w:b w:val="false"/>
          <w:bCs w:val="false"/>
          <w:i/>
          <w:i/>
          <w:iCs/>
          <w:sz w:val="22"/>
          <w:szCs w:val="22"/>
        </w:rPr>
      </w:pPr>
      <w:r>
        <w:rPr>
          <w:b w:val="false"/>
          <w:bCs w:val="false"/>
          <w:i/>
          <w:iCs/>
          <w:sz w:val="22"/>
          <w:szCs w:val="22"/>
        </w:rPr>
        <w:t>Threat intelligence reputation data</w:t>
      </w:r>
    </w:p>
    <w:p>
      <w:pPr>
        <w:pStyle w:val="BodyText"/>
        <w:numPr>
          <w:ilvl w:val="0"/>
          <w:numId w:val="1"/>
        </w:numPr>
        <w:tabs>
          <w:tab w:val="clear" w:pos="709"/>
          <w:tab w:val="left" w:pos="0" w:leader="none"/>
        </w:tabs>
        <w:ind w:hanging="283" w:start="709"/>
        <w:rPr>
          <w:b w:val="false"/>
          <w:bCs w:val="false"/>
          <w:i/>
          <w:i/>
          <w:iCs/>
          <w:sz w:val="22"/>
          <w:szCs w:val="22"/>
        </w:rPr>
      </w:pPr>
      <w:r>
        <w:rPr>
          <w:b w:val="false"/>
          <w:bCs w:val="false"/>
          <w:i/>
          <w:iCs/>
          <w:sz w:val="22"/>
          <w:szCs w:val="22"/>
        </w:rPr>
        <w:t>Historical activity related to the alert</w:t>
      </w:r>
    </w:p>
    <w:p>
      <w:pPr>
        <w:pStyle w:val="BodyText"/>
        <w:rPr>
          <w:b w:val="false"/>
          <w:bCs w:val="false"/>
          <w:i/>
          <w:i/>
          <w:iCs/>
          <w:sz w:val="22"/>
          <w:szCs w:val="22"/>
        </w:rPr>
      </w:pPr>
      <w:r>
        <w:rPr>
          <w:b w:val="false"/>
          <w:bCs w:val="false"/>
          <w:i/>
          <w:iCs/>
          <w:sz w:val="22"/>
          <w:szCs w:val="22"/>
        </w:rPr>
        <w:t>This automated enrichment reduces manual effort and allows analysts to start investigations with relevant context already available.</w:t>
      </w:r>
    </w:p>
    <w:p>
      <w:pPr>
        <w:pStyle w:val="Heading3"/>
        <w:rPr>
          <w:rStyle w:val="Strong"/>
        </w:rPr>
      </w:pPr>
      <w:r>
        <w:rPr/>
      </w:r>
    </w:p>
    <w:p>
      <w:pPr>
        <w:pStyle w:val="Heading2"/>
        <w:bidi w:val="0"/>
        <w:spacing w:before="300" w:after="160"/>
        <w:jc w:val="start"/>
        <w:rPr/>
      </w:pPr>
      <w:r>
        <w:rPr>
          <w:rStyle w:val="Strong"/>
          <w:rFonts w:eastAsia="Arial" w:cs="Arial" w:ascii="Arial" w:hAnsi="Arial"/>
          <w:b/>
          <w:bCs/>
          <w:color w:val="2E75B6"/>
          <w:sz w:val="24"/>
          <w:szCs w:val="24"/>
        </w:rPr>
        <w:t xml:space="preserve">3. Initial Triage (Tier 1 Analysis) </w:t>
      </w:r>
    </w:p>
    <w:p>
      <w:pPr>
        <w:pStyle w:val="BodyText"/>
        <w:rPr>
          <w:i/>
          <w:i/>
          <w:iCs/>
          <w:sz w:val="22"/>
          <w:szCs w:val="22"/>
        </w:rPr>
      </w:pPr>
      <w:r>
        <w:rPr>
          <w:i/>
          <w:iCs/>
          <w:sz w:val="22"/>
          <w:szCs w:val="22"/>
        </w:rPr>
        <w:t>Tier 1 (L1) SOC analysts perform the first level of review. Their main objective is to determine whether the alert represents a genuine security threat or a benign activity.</w:t>
      </w:r>
    </w:p>
    <w:p>
      <w:pPr>
        <w:pStyle w:val="BodyText"/>
        <w:rPr>
          <w:i/>
          <w:i/>
          <w:iCs/>
          <w:sz w:val="22"/>
          <w:szCs w:val="22"/>
        </w:rPr>
      </w:pPr>
      <w:r>
        <w:rPr>
          <w:i/>
          <w:iCs/>
          <w:sz w:val="22"/>
          <w:szCs w:val="22"/>
        </w:rPr>
        <w:t>During triage, analysts validate alert details, review supporting logs, and assess severity. Based on the findings:</w:t>
      </w:r>
    </w:p>
    <w:p>
      <w:pPr>
        <w:pStyle w:val="BodyText"/>
        <w:numPr>
          <w:ilvl w:val="0"/>
          <w:numId w:val="2"/>
        </w:numPr>
        <w:tabs>
          <w:tab w:val="clear" w:pos="709"/>
          <w:tab w:val="left" w:pos="0" w:leader="none"/>
        </w:tabs>
        <w:ind w:hanging="283" w:start="709"/>
        <w:rPr/>
      </w:pPr>
      <w:r>
        <w:rPr>
          <w:rStyle w:val="Strong"/>
          <w:i/>
          <w:iCs/>
          <w:sz w:val="22"/>
          <w:szCs w:val="22"/>
        </w:rPr>
        <w:t>False positives or benign events</w:t>
      </w:r>
      <w:r>
        <w:rPr>
          <w:i/>
          <w:iCs/>
          <w:sz w:val="22"/>
          <w:szCs w:val="22"/>
        </w:rPr>
        <w:t xml:space="preserve"> are documented and closed.</w:t>
      </w:r>
    </w:p>
    <w:p>
      <w:pPr>
        <w:pStyle w:val="BodyText"/>
        <w:numPr>
          <w:ilvl w:val="0"/>
          <w:numId w:val="2"/>
        </w:numPr>
        <w:tabs>
          <w:tab w:val="clear" w:pos="709"/>
          <w:tab w:val="left" w:pos="0" w:leader="none"/>
        </w:tabs>
        <w:ind w:hanging="283" w:start="709"/>
        <w:rPr/>
      </w:pPr>
      <w:r>
        <w:rPr>
          <w:rStyle w:val="Strong"/>
          <w:i/>
          <w:iCs/>
          <w:sz w:val="22"/>
          <w:szCs w:val="22"/>
        </w:rPr>
        <w:t>Suspicious or confirmed threats</w:t>
      </w:r>
      <w:r>
        <w:rPr>
          <w:i/>
          <w:iCs/>
          <w:sz w:val="22"/>
          <w:szCs w:val="22"/>
        </w:rPr>
        <w:t xml:space="preserve"> are escalated for deeper investigation.</w:t>
      </w:r>
    </w:p>
    <w:p>
      <w:pPr>
        <w:pStyle w:val="Heading3"/>
        <w:rPr>
          <w:rStyle w:val="Strong"/>
          <w:rFonts w:ascii="Arial" w:hAnsi="Arial" w:eastAsia="Arial" w:cs="Arial"/>
          <w:color w:val="2E75B6"/>
          <w:sz w:val="24"/>
          <w:szCs w:val="24"/>
        </w:rPr>
      </w:pPr>
      <w:r>
        <w:rPr/>
      </w:r>
    </w:p>
    <w:p>
      <w:pPr>
        <w:pStyle w:val="Heading3"/>
        <w:rPr/>
      </w:pPr>
      <w:r>
        <w:rPr>
          <w:rStyle w:val="Strong"/>
          <w:rFonts w:eastAsia="Arial" w:cs="Arial" w:ascii="Arial" w:hAnsi="Arial"/>
          <w:b/>
          <w:bCs/>
          <w:color w:val="2E75B6"/>
          <w:sz w:val="24"/>
          <w:szCs w:val="24"/>
        </w:rPr>
        <w:t xml:space="preserve">4. Escalation and Advanced Investigation </w:t>
      </w:r>
    </w:p>
    <w:p>
      <w:pPr>
        <w:pStyle w:val="BodyText"/>
        <w:rPr>
          <w:i/>
          <w:i/>
          <w:iCs/>
          <w:sz w:val="22"/>
          <w:szCs w:val="22"/>
        </w:rPr>
      </w:pPr>
      <w:r>
        <w:rPr>
          <w:i/>
          <w:iCs/>
          <w:sz w:val="22"/>
          <w:szCs w:val="22"/>
        </w:rPr>
        <w:t>If an alert requires further analysis, it is escalated to Tier 2 or Tier 3 analysts. These analysts conduct deeper investigations using advanced tools and techniques, such as log analysis, endpoint investigation, or network traffic review.</w:t>
      </w:r>
    </w:p>
    <w:p>
      <w:pPr>
        <w:pStyle w:val="BodyText"/>
        <w:rPr>
          <w:i/>
          <w:i/>
          <w:iCs/>
          <w:sz w:val="22"/>
          <w:szCs w:val="22"/>
        </w:rPr>
      </w:pPr>
      <w:r>
        <w:rPr>
          <w:i/>
          <w:iCs/>
          <w:sz w:val="22"/>
          <w:szCs w:val="22"/>
        </w:rPr>
        <w:t>At this stage, analysts aim to understand:</w:t>
      </w:r>
    </w:p>
    <w:p>
      <w:pPr>
        <w:pStyle w:val="BodyText"/>
        <w:numPr>
          <w:ilvl w:val="0"/>
          <w:numId w:val="3"/>
        </w:numPr>
        <w:tabs>
          <w:tab w:val="clear" w:pos="709"/>
          <w:tab w:val="left" w:pos="0" w:leader="none"/>
        </w:tabs>
        <w:ind w:hanging="283" w:start="709"/>
        <w:rPr>
          <w:i/>
          <w:i/>
          <w:iCs/>
          <w:sz w:val="22"/>
          <w:szCs w:val="22"/>
        </w:rPr>
      </w:pPr>
      <w:r>
        <w:rPr>
          <w:i/>
          <w:iCs/>
          <w:sz w:val="22"/>
          <w:szCs w:val="22"/>
        </w:rPr>
        <w:t>How the activity occurred</w:t>
      </w:r>
    </w:p>
    <w:p>
      <w:pPr>
        <w:pStyle w:val="BodyText"/>
        <w:numPr>
          <w:ilvl w:val="0"/>
          <w:numId w:val="3"/>
        </w:numPr>
        <w:tabs>
          <w:tab w:val="clear" w:pos="709"/>
          <w:tab w:val="left" w:pos="0" w:leader="none"/>
        </w:tabs>
        <w:ind w:hanging="283" w:start="709"/>
        <w:rPr>
          <w:i/>
          <w:i/>
          <w:iCs/>
          <w:sz w:val="22"/>
          <w:szCs w:val="22"/>
        </w:rPr>
      </w:pPr>
      <w:r>
        <w:rPr>
          <w:i/>
          <w:iCs/>
          <w:sz w:val="22"/>
          <w:szCs w:val="22"/>
        </w:rPr>
        <w:t>Whether systems are compromised</w:t>
      </w:r>
    </w:p>
    <w:p>
      <w:pPr>
        <w:pStyle w:val="BodyText"/>
        <w:numPr>
          <w:ilvl w:val="0"/>
          <w:numId w:val="3"/>
        </w:numPr>
        <w:tabs>
          <w:tab w:val="clear" w:pos="709"/>
          <w:tab w:val="left" w:pos="0" w:leader="none"/>
        </w:tabs>
        <w:ind w:hanging="283" w:start="709"/>
        <w:rPr>
          <w:i/>
          <w:i/>
          <w:iCs/>
          <w:sz w:val="22"/>
          <w:szCs w:val="22"/>
        </w:rPr>
      </w:pPr>
      <w:r>
        <w:rPr>
          <w:i/>
          <w:iCs/>
          <w:sz w:val="22"/>
          <w:szCs w:val="22"/>
        </w:rPr>
        <w:t>The scope and potential impact of the incident</w:t>
      </w:r>
    </w:p>
    <w:p>
      <w:pPr>
        <w:pStyle w:val="Heading3"/>
        <w:rPr>
          <w:rStyle w:val="Strong"/>
          <w:rFonts w:ascii="Arial" w:hAnsi="Arial" w:eastAsia="Arial" w:cs="Arial"/>
          <w:color w:val="2E75B6"/>
          <w:sz w:val="24"/>
          <w:szCs w:val="24"/>
        </w:rPr>
      </w:pPr>
      <w:r>
        <w:rPr/>
      </w:r>
    </w:p>
    <w:p>
      <w:pPr>
        <w:pStyle w:val="Heading3"/>
        <w:rPr/>
      </w:pPr>
      <w:r>
        <w:rPr>
          <w:rStyle w:val="Strong"/>
          <w:rFonts w:eastAsia="Arial" w:cs="Arial" w:ascii="Arial" w:hAnsi="Arial"/>
          <w:b/>
          <w:bCs/>
          <w:color w:val="2E75B6"/>
          <w:sz w:val="24"/>
          <w:szCs w:val="24"/>
        </w:rPr>
        <w:t>5. Playbook and Response Execution</w:t>
      </w:r>
    </w:p>
    <w:p>
      <w:pPr>
        <w:pStyle w:val="BodyText"/>
        <w:rPr>
          <w:i/>
          <w:i/>
          <w:iCs/>
          <w:sz w:val="22"/>
          <w:szCs w:val="22"/>
        </w:rPr>
      </w:pPr>
      <w:r>
        <w:rPr>
          <w:i/>
          <w:iCs/>
          <w:sz w:val="22"/>
          <w:szCs w:val="22"/>
        </w:rPr>
        <w:t>SOC teams rely on predefined playbooks or runbooks to guide response actions. These step-by-step procedures ensure consistent handling of common threats such as phishing, malware infections, or unauthorized access attempts.</w:t>
      </w:r>
    </w:p>
    <w:p>
      <w:pPr>
        <w:pStyle w:val="BodyText"/>
        <w:rPr>
          <w:i/>
          <w:i/>
          <w:iCs/>
          <w:sz w:val="22"/>
          <w:szCs w:val="22"/>
        </w:rPr>
      </w:pPr>
      <w:r>
        <w:rPr>
          <w:i/>
          <w:iCs/>
          <w:sz w:val="22"/>
          <w:szCs w:val="22"/>
        </w:rPr>
        <w:t>Typical response actions may include:</w:t>
      </w:r>
    </w:p>
    <w:p>
      <w:pPr>
        <w:pStyle w:val="BodyText"/>
        <w:numPr>
          <w:ilvl w:val="0"/>
          <w:numId w:val="4"/>
        </w:numPr>
        <w:tabs>
          <w:tab w:val="clear" w:pos="709"/>
          <w:tab w:val="left" w:pos="0" w:leader="none"/>
        </w:tabs>
        <w:ind w:hanging="283" w:start="709"/>
        <w:rPr>
          <w:i/>
          <w:i/>
          <w:iCs/>
          <w:sz w:val="22"/>
          <w:szCs w:val="22"/>
        </w:rPr>
      </w:pPr>
      <w:r>
        <w:rPr>
          <w:i/>
          <w:iCs/>
          <w:sz w:val="22"/>
          <w:szCs w:val="22"/>
        </w:rPr>
        <w:t>Blocking malicious IP addresses or domains</w:t>
      </w:r>
    </w:p>
    <w:p>
      <w:pPr>
        <w:pStyle w:val="BodyText"/>
        <w:numPr>
          <w:ilvl w:val="0"/>
          <w:numId w:val="4"/>
        </w:numPr>
        <w:tabs>
          <w:tab w:val="clear" w:pos="709"/>
          <w:tab w:val="left" w:pos="0" w:leader="none"/>
        </w:tabs>
        <w:ind w:hanging="283" w:start="709"/>
        <w:rPr>
          <w:i/>
          <w:i/>
          <w:iCs/>
          <w:sz w:val="22"/>
          <w:szCs w:val="22"/>
        </w:rPr>
      </w:pPr>
      <w:r>
        <w:rPr>
          <w:i/>
          <w:iCs/>
          <w:sz w:val="22"/>
          <w:szCs w:val="22"/>
        </w:rPr>
        <w:t>Isolating affected endpoints</w:t>
      </w:r>
    </w:p>
    <w:p>
      <w:pPr>
        <w:pStyle w:val="BodyText"/>
        <w:numPr>
          <w:ilvl w:val="0"/>
          <w:numId w:val="4"/>
        </w:numPr>
        <w:tabs>
          <w:tab w:val="clear" w:pos="709"/>
          <w:tab w:val="left" w:pos="0" w:leader="none"/>
        </w:tabs>
        <w:ind w:hanging="283" w:start="709"/>
        <w:rPr>
          <w:i/>
          <w:i/>
          <w:iCs/>
          <w:sz w:val="22"/>
          <w:szCs w:val="22"/>
        </w:rPr>
      </w:pPr>
      <w:r>
        <w:rPr>
          <w:i/>
          <w:iCs/>
          <w:sz w:val="22"/>
          <w:szCs w:val="22"/>
        </w:rPr>
        <w:t>Removing malicious emails</w:t>
      </w:r>
    </w:p>
    <w:p>
      <w:pPr>
        <w:pStyle w:val="BodyText"/>
        <w:numPr>
          <w:ilvl w:val="0"/>
          <w:numId w:val="4"/>
        </w:numPr>
        <w:tabs>
          <w:tab w:val="clear" w:pos="709"/>
          <w:tab w:val="left" w:pos="0" w:leader="none"/>
        </w:tabs>
        <w:ind w:hanging="283" w:start="709"/>
        <w:rPr>
          <w:i/>
          <w:i/>
          <w:iCs/>
          <w:sz w:val="22"/>
          <w:szCs w:val="22"/>
        </w:rPr>
      </w:pPr>
      <w:r>
        <w:rPr>
          <w:i/>
          <w:iCs/>
          <w:sz w:val="22"/>
          <w:szCs w:val="22"/>
        </w:rPr>
        <w:t>Resetting compromised credentials</w:t>
      </w:r>
    </w:p>
    <w:p>
      <w:pPr>
        <w:pStyle w:val="BodyText"/>
        <w:rPr>
          <w:i/>
          <w:i/>
          <w:iCs/>
          <w:sz w:val="22"/>
          <w:szCs w:val="22"/>
        </w:rPr>
      </w:pPr>
      <w:r>
        <w:rPr>
          <w:i/>
          <w:iCs/>
          <w:sz w:val="22"/>
          <w:szCs w:val="22"/>
        </w:rPr>
        <w:t>Using playbooks reduces errors and helps analysts respond quickly during high-pressure situations.</w:t>
      </w:r>
    </w:p>
    <w:p>
      <w:pPr>
        <w:pStyle w:val="Heading3"/>
        <w:rPr>
          <w:rStyle w:val="Strong"/>
        </w:rPr>
      </w:pPr>
      <w:r>
        <w:rPr/>
      </w:r>
    </w:p>
    <w:p>
      <w:pPr>
        <w:pStyle w:val="Heading3"/>
        <w:rPr/>
      </w:pPr>
      <w:r>
        <w:rPr>
          <w:rStyle w:val="Strong"/>
          <w:rFonts w:eastAsia="Arial" w:cs="Arial" w:ascii="Arial" w:hAnsi="Arial"/>
          <w:b/>
          <w:bCs/>
          <w:color w:val="2E75B6"/>
          <w:sz w:val="24"/>
          <w:szCs w:val="24"/>
        </w:rPr>
        <w:t>6. Containment, Resolution, and Documentation</w:t>
      </w:r>
    </w:p>
    <w:p>
      <w:pPr>
        <w:pStyle w:val="BodyText"/>
        <w:rPr>
          <w:i/>
          <w:i/>
          <w:iCs/>
          <w:sz w:val="22"/>
          <w:szCs w:val="22"/>
        </w:rPr>
      </w:pPr>
      <w:r>
        <w:rPr>
          <w:i/>
          <w:iCs/>
          <w:sz w:val="22"/>
          <w:szCs w:val="22"/>
        </w:rPr>
        <w:t>Once the threat is confirmed, analysts take actions to contain and eliminate it. The goal is to stop further damage while restoring systems to a secure state.</w:t>
      </w:r>
    </w:p>
    <w:p>
      <w:pPr>
        <w:pStyle w:val="BodyText"/>
        <w:rPr>
          <w:i/>
          <w:i/>
          <w:iCs/>
          <w:sz w:val="22"/>
          <w:szCs w:val="22"/>
        </w:rPr>
      </w:pPr>
      <w:r>
        <w:rPr>
          <w:i/>
          <w:iCs/>
          <w:sz w:val="22"/>
          <w:szCs w:val="22"/>
        </w:rPr>
        <w:t>All investigation steps, findings, and remediation actions are carefully documented within the ticket. Proper documentation supports compliance requirements and provides valuable reference material for future incidents.</w:t>
      </w:r>
    </w:p>
    <w:p>
      <w:pPr>
        <w:pStyle w:val="Heading3"/>
        <w:rPr>
          <w:rStyle w:val="Strong"/>
        </w:rPr>
      </w:pPr>
      <w:r>
        <w:rPr/>
      </w:r>
    </w:p>
    <w:p>
      <w:pPr>
        <w:pStyle w:val="Heading3"/>
        <w:rPr/>
      </w:pPr>
      <w:r>
        <w:rPr>
          <w:rStyle w:val="Strong"/>
          <w:rFonts w:eastAsia="Arial" w:cs="Arial" w:ascii="Arial" w:hAnsi="Arial"/>
          <w:b/>
          <w:bCs/>
          <w:color w:val="2E75B6"/>
          <w:sz w:val="24"/>
          <w:szCs w:val="24"/>
        </w:rPr>
        <w:t>7. Closure and Post-Incident Review</w:t>
      </w:r>
    </w:p>
    <w:p>
      <w:pPr>
        <w:pStyle w:val="BodyText"/>
        <w:rPr>
          <w:i/>
          <w:i/>
          <w:iCs/>
          <w:sz w:val="22"/>
          <w:szCs w:val="22"/>
        </w:rPr>
      </w:pPr>
      <w:r>
        <w:rPr>
          <w:i/>
          <w:iCs/>
          <w:sz w:val="22"/>
          <w:szCs w:val="22"/>
        </w:rPr>
        <w:t>After remediation is complete and systems are verified as secure, the incident ticket is formally closed. For significant incidents, the SOC team conducts a post-incident review to evaluate what happened, how the response was handled, and what improvements can be made.</w:t>
      </w:r>
    </w:p>
    <w:p>
      <w:pPr>
        <w:pStyle w:val="BodyText"/>
        <w:rPr>
          <w:i/>
          <w:i/>
          <w:iCs/>
          <w:sz w:val="22"/>
          <w:szCs w:val="22"/>
        </w:rPr>
      </w:pPr>
      <w:r>
        <w:rPr>
          <w:i/>
          <w:iCs/>
          <w:sz w:val="22"/>
          <w:szCs w:val="22"/>
        </w:rPr>
        <w:t>Lessons learned from this process often lead to:</w:t>
      </w:r>
    </w:p>
    <w:p>
      <w:pPr>
        <w:pStyle w:val="BodyText"/>
        <w:numPr>
          <w:ilvl w:val="0"/>
          <w:numId w:val="5"/>
        </w:numPr>
        <w:tabs>
          <w:tab w:val="clear" w:pos="709"/>
          <w:tab w:val="left" w:pos="0" w:leader="none"/>
        </w:tabs>
        <w:ind w:hanging="283" w:start="709"/>
        <w:rPr>
          <w:i/>
          <w:i/>
          <w:iCs/>
          <w:sz w:val="22"/>
          <w:szCs w:val="22"/>
        </w:rPr>
      </w:pPr>
      <w:r>
        <w:rPr>
          <w:i/>
          <w:iCs/>
          <w:sz w:val="22"/>
          <w:szCs w:val="22"/>
        </w:rPr>
        <w:t>Improved detection rules</w:t>
      </w:r>
    </w:p>
    <w:p>
      <w:pPr>
        <w:pStyle w:val="BodyText"/>
        <w:numPr>
          <w:ilvl w:val="0"/>
          <w:numId w:val="5"/>
        </w:numPr>
        <w:tabs>
          <w:tab w:val="clear" w:pos="709"/>
          <w:tab w:val="left" w:pos="0" w:leader="none"/>
        </w:tabs>
        <w:ind w:hanging="283" w:start="709"/>
        <w:rPr>
          <w:i/>
          <w:i/>
          <w:iCs/>
          <w:sz w:val="22"/>
          <w:szCs w:val="22"/>
        </w:rPr>
      </w:pPr>
      <w:r>
        <w:rPr>
          <w:i/>
          <w:iCs/>
          <w:sz w:val="22"/>
          <w:szCs w:val="22"/>
        </w:rPr>
        <w:t>Updated playbooks</w:t>
      </w:r>
    </w:p>
    <w:p>
      <w:pPr>
        <w:pStyle w:val="BodyText"/>
        <w:numPr>
          <w:ilvl w:val="0"/>
          <w:numId w:val="5"/>
        </w:numPr>
        <w:tabs>
          <w:tab w:val="clear" w:pos="709"/>
          <w:tab w:val="left" w:pos="0" w:leader="none"/>
        </w:tabs>
        <w:ind w:hanging="283" w:start="709"/>
        <w:rPr>
          <w:i/>
          <w:i/>
          <w:iCs/>
          <w:sz w:val="22"/>
          <w:szCs w:val="22"/>
        </w:rPr>
      </w:pPr>
      <w:r>
        <w:rPr>
          <w:i/>
          <w:iCs/>
          <w:sz w:val="22"/>
          <w:szCs w:val="22"/>
        </w:rPr>
        <w:t>Stronger preventive controls</w:t>
      </w:r>
    </w:p>
    <w:p>
      <w:pPr>
        <w:pStyle w:val="Heading2"/>
        <w:rPr>
          <w:rStyle w:val="Strong"/>
          <w:rFonts w:ascii="Arial" w:hAnsi="Arial" w:eastAsia="Arial" w:cs="Arial"/>
          <w:i/>
          <w:i/>
          <w:iCs/>
          <w:color w:val="2E75B6"/>
          <w:sz w:val="22"/>
          <w:szCs w:val="22"/>
        </w:rPr>
      </w:pPr>
      <w:r>
        <w:rPr/>
      </w:r>
    </w:p>
    <w:p>
      <w:pPr>
        <w:pStyle w:val="Heading2"/>
        <w:rPr>
          <w:rStyle w:val="Strong"/>
          <w:rFonts w:ascii="Arial" w:hAnsi="Arial" w:eastAsia="Arial" w:cs="Arial"/>
          <w:color w:val="2E75B6"/>
          <w:sz w:val="24"/>
          <w:szCs w:val="24"/>
        </w:rPr>
      </w:pPr>
      <w:r>
        <w:rPr/>
      </w:r>
    </w:p>
    <w:p>
      <w:pPr>
        <w:pStyle w:val="Heading2"/>
        <w:rPr/>
      </w:pPr>
      <w:r>
        <w:rPr>
          <w:rStyle w:val="Strong"/>
          <w:rFonts w:eastAsia="Arial" w:cs="Arial" w:ascii="Arial" w:hAnsi="Arial"/>
          <w:b/>
          <w:bCs/>
          <w:color w:val="2E75B6"/>
          <w:sz w:val="24"/>
          <w:szCs w:val="24"/>
        </w:rPr>
        <w:t>Summary</w:t>
      </w:r>
    </w:p>
    <w:p>
      <w:pPr>
        <w:pStyle w:val="BodyText"/>
        <w:rPr>
          <w:i/>
          <w:i/>
          <w:iCs/>
        </w:rPr>
      </w:pPr>
      <w:r>
        <w:rPr>
          <w:i/>
          <w:iCs/>
        </w:rPr>
        <w:t>The SOC incident workflow transforms automated alerts into structured investigations and actionable responses. By combining technology, standardized processes, and analyst expertise, the SOC ensures threats are detected, analyzed, contained, and learned from in a continuous improvement cycle.</w:t>
      </w:r>
    </w:p>
    <w:p>
      <w:pPr>
        <w:pStyle w:val="BodyText"/>
        <w:bidi w:val="0"/>
        <w:spacing w:before="0" w:after="140"/>
        <w:ind w:hanging="0" w:start="0" w:end="0"/>
        <w:jc w:val="start"/>
        <w:rPr>
          <w:rFonts w:ascii="Arial" w:hAnsi="Arial" w:eastAsia="Arial" w:cs="Arial"/>
          <w:b/>
          <w:bCs/>
          <w:i/>
          <w:i/>
          <w:iCs/>
          <w:color w:val="1F3864"/>
          <w:sz w:val="22"/>
          <w:szCs w:val="22"/>
        </w:rPr>
      </w:pPr>
      <w:r>
        <w:rPr>
          <w:rFonts w:eastAsia="Arial" w:cs="Arial" w:ascii="Arial" w:hAnsi="Arial"/>
          <w:b/>
          <w:bCs/>
          <w:i/>
          <w:iCs/>
          <w:color w:val="1F3864"/>
          <w:sz w:val="22"/>
          <w:szCs w:val="22"/>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swiss"/>
    <w:pitch w:val="variable"/>
  </w:font>
  <w:font w:name="Liberation Serif">
    <w:altName w:val="Times New Roman"/>
    <w:charset w:val="01" w:characterSet="utf-8"/>
    <w:family w:val="swiss"/>
    <w:pitch w:val="variable"/>
  </w:font>
  <w:font w:name="OpenSymbol">
    <w:altName w:val="Arial Unicode MS"/>
    <w:charset w:val="02"/>
    <w:family w:val="auto"/>
    <w:pitch w:val="default"/>
  </w:font>
  <w:font w:name="Liberation Sans">
    <w:altName w:val="Arial"/>
    <w:charset w:val="01" w:characterSet="utf-8"/>
    <w:family w:val="roman"/>
    <w:pitch w:val="variable"/>
  </w:font>
  <w:font w:name="Arial">
    <w:charset w:val="01" w:characterSet="utf-8"/>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paragraph" w:styleId="Heading1">
    <w:name w:val="Heading 1"/>
    <w:basedOn w:val="Heading"/>
    <w:qFormat/>
    <w:pPr>
      <w:spacing w:before="400" w:after="200"/>
      <w:outlineLvl w:val="0"/>
    </w:pPr>
    <w:rPr>
      <w:rFonts w:ascii="Arial" w:hAnsi="Arial" w:eastAsia="Arial" w:cs="Arial"/>
      <w:b/>
      <w:bCs/>
      <w:color w:val="1F3864"/>
      <w:sz w:val="32"/>
      <w:szCs w:val="32"/>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paragraph" w:styleId="Heading6">
    <w:name w:val="Heading 6"/>
    <w:basedOn w:val="Heading"/>
    <w:next w:val="BodyText"/>
    <w:qFormat/>
    <w:pPr>
      <w:spacing w:before="60" w:after="60"/>
      <w:outlineLvl w:val="5"/>
    </w:pPr>
    <w:rPr>
      <w:rFonts w:ascii="Liberation Serif" w:hAnsi="Liberation Serif" w:eastAsia="Noto Serif CJK SC" w:cs="Noto Sans Devanagari"/>
      <w:b/>
      <w:bCs/>
      <w:sz w:val="14"/>
      <w:szCs w:val="14"/>
    </w:rPr>
  </w:style>
  <w:style w:type="character" w:styleId="Strong">
    <w:name w:val="Strong"/>
    <w:qFormat/>
    <w:rPr>
      <w:b/>
      <w:bCs/>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19</TotalTime>
  <Application>LibreOffice/24.2.7.2$Linux_X86_64 LibreOffice_project/420$Build-2</Application>
  <AppVersion>15.0000</AppVersion>
  <Pages>3</Pages>
  <Words>595</Words>
  <Characters>3628</Characters>
  <CharactersWithSpaces>4166</CharactersWithSpaces>
  <Paragraphs>46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2026-03-01T14:21:47Z</dcterms:created>
  <dc:creator/>
  <dc:description/>
  <dc:language>en-US</dc:language>
  <cp:lastModifiedBy/>
  <dcterms:modified xsi:type="dcterms:W3CDTF">2026-03-01T16:26:31Z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